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5ED5" w14:textId="632CD1DE" w:rsidR="004349AA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294199E8" w:rsidR="00D62804" w:rsidRPr="00246E6B" w:rsidRDefault="007A68B9" w:rsidP="007A68B9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BACKUP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294199E8" w:rsidR="00D62804" w:rsidRPr="00246E6B" w:rsidRDefault="007A68B9" w:rsidP="007A68B9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BACKUP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5C5E7F76" w14:textId="632618FB" w:rsidR="00312D49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312D49">
            <w:rPr>
              <w:noProof/>
            </w:rPr>
            <w:t>1.</w:t>
          </w:r>
          <w:r w:rsidR="00312D49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312D49">
            <w:rPr>
              <w:noProof/>
            </w:rPr>
            <w:t>Versão do Produto</w:t>
          </w:r>
          <w:r w:rsidR="00312D49">
            <w:rPr>
              <w:noProof/>
            </w:rPr>
            <w:tab/>
          </w:r>
          <w:r w:rsidR="00312D49">
            <w:rPr>
              <w:noProof/>
            </w:rPr>
            <w:fldChar w:fldCharType="begin"/>
          </w:r>
          <w:r w:rsidR="00312D49">
            <w:rPr>
              <w:noProof/>
            </w:rPr>
            <w:instrText xml:space="preserve"> PAGEREF _Toc170310967 \h </w:instrText>
          </w:r>
          <w:r w:rsidR="00312D49">
            <w:rPr>
              <w:noProof/>
            </w:rPr>
          </w:r>
          <w:r w:rsidR="00312D49">
            <w:rPr>
              <w:noProof/>
            </w:rPr>
            <w:fldChar w:fldCharType="separate"/>
          </w:r>
          <w:r w:rsidR="00312D49">
            <w:rPr>
              <w:noProof/>
            </w:rPr>
            <w:t>3</w:t>
          </w:r>
          <w:r w:rsidR="00312D49">
            <w:rPr>
              <w:noProof/>
            </w:rPr>
            <w:fldChar w:fldCharType="end"/>
          </w:r>
        </w:p>
        <w:p w14:paraId="304CBFA3" w14:textId="0EE3188D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B60AE07" w14:textId="7DD37925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70105E8" w14:textId="2A7D29B4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D4C5413" w14:textId="1130B1EB" w:rsidR="00312D49" w:rsidRDefault="00312D49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44218A0" w14:textId="5467F4CE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6B75CAF" w14:textId="06F1E468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36B8603" w14:textId="567FD817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F00CBCC" w14:textId="7C63970A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C973F7A" w14:textId="58978986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16B1A85" w14:textId="7602DFCE" w:rsidR="00312D49" w:rsidRDefault="00312D49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_Toc170310977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1F4CB23D" w:rsidR="004349AA" w:rsidRPr="00A62606" w:rsidRDefault="004349AA" w:rsidP="004349AA">
          <w:pPr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45552ABC" w14:textId="77777777" w:rsidR="00312D49" w:rsidRPr="001E7E16" w:rsidRDefault="00312D49" w:rsidP="00312D49">
      <w:pPr>
        <w:pStyle w:val="Titulo1"/>
      </w:pPr>
      <w:bookmarkStart w:id="0" w:name="_Toc170309940"/>
      <w:bookmarkStart w:id="1" w:name="_Toc170310967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312D49" w:rsidRPr="00862F10" w14:paraId="02BD18E5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F554104" w14:textId="77777777" w:rsidR="00312D49" w:rsidRPr="00862F10" w:rsidRDefault="00312D49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34AC24AC" w14:textId="77777777" w:rsidR="00312D49" w:rsidRDefault="00312D49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4B07BBD1" w14:textId="77777777" w:rsidR="00312D49" w:rsidRPr="00862F10" w:rsidRDefault="00312D49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312D49" w:rsidRPr="00862F10" w14:paraId="6AB974C9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2B70C61C" w14:textId="77777777" w:rsidR="00312D49" w:rsidRPr="00862F10" w:rsidRDefault="00312D49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206CED81" w14:textId="77777777" w:rsidR="00312D49" w:rsidRPr="00862F10" w:rsidRDefault="00312D49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0DE0235E" w14:textId="77777777" w:rsidR="00312D49" w:rsidRPr="00862F10" w:rsidRDefault="00312D49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17B41832" w:rsidR="00BE3C02" w:rsidRPr="005039E1" w:rsidRDefault="00D62804" w:rsidP="00F87A71">
      <w:pPr>
        <w:pStyle w:val="Titulo1"/>
      </w:pPr>
      <w:bookmarkStart w:id="2" w:name="_Toc170310968"/>
      <w:r w:rsidRPr="005039E1">
        <w:t>Descrição Resumida</w:t>
      </w:r>
      <w:bookmarkEnd w:id="2"/>
    </w:p>
    <w:p w14:paraId="67344541" w14:textId="23AC7C46" w:rsidR="00BE3C02" w:rsidRPr="005039E1" w:rsidRDefault="005D6B27" w:rsidP="007A68B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O produto de Professional Services da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="007A68B9" w:rsidRPr="005039E1">
        <w:rPr>
          <w:rFonts w:ascii="Calibri" w:eastAsiaTheme="minorHAnsi" w:hAnsi="Calibri"/>
          <w:sz w:val="22"/>
          <w:szCs w:val="22"/>
          <w:lang w:eastAsia="en-US"/>
        </w:rPr>
        <w:t>é uma oferta para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7A68B9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com necessidades de mão de obra qualificada, expertise e experiência com serviços de TI de alta performance e agilidade na mobilização de recursos.</w:t>
      </w:r>
    </w:p>
    <w:p w14:paraId="5B51BBC8" w14:textId="33FAC868" w:rsidR="00BE3C02" w:rsidRPr="005039E1" w:rsidRDefault="00D62804" w:rsidP="00F87A71">
      <w:pPr>
        <w:pStyle w:val="Titulo1"/>
      </w:pPr>
      <w:bookmarkStart w:id="3" w:name="_Toc170310969"/>
      <w:r w:rsidRPr="005039E1">
        <w:t>Objetivo</w:t>
      </w:r>
      <w:bookmarkEnd w:id="3"/>
    </w:p>
    <w:p w14:paraId="4C2DD936" w14:textId="63DE07DF" w:rsidR="005D6B27" w:rsidRPr="005039E1" w:rsidRDefault="005039E1" w:rsidP="000D6CC1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O Professional Services de Backup ajuda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 a manter seus dados sempre acessíveis. O foco da </w:t>
      </w:r>
      <w:r w:rsidR="005D6B27" w:rsidRPr="005039E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 é fornecer um serviço completo que proporcione o gerenciamento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proativo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>, monitoração, suporte e relatórios das unidades de armazenamento utilizadas para entrega do serviço. Por meio de modernas políticas automatizadas de proteção da informação (backup), dados críticos de sua empresa ficam protegidos e disponíveis a qualquer momento. Em caso de necessidade de restauração, um time de especialistas utilizando-se das melhores práticas, garantem o melhor ponto requerido de recuperação, no melhor tempo acordado para continuidade e integridade dos negócios.</w:t>
      </w:r>
    </w:p>
    <w:p w14:paraId="5F5E8E9A" w14:textId="3BF27A82" w:rsidR="00BE3C02" w:rsidRPr="005039E1" w:rsidRDefault="00D62804" w:rsidP="00F87A71">
      <w:pPr>
        <w:pStyle w:val="Titulo1"/>
      </w:pPr>
      <w:bookmarkStart w:id="4" w:name="_Toc170310970"/>
      <w:r w:rsidRPr="005039E1">
        <w:t>Benefícios</w:t>
      </w:r>
      <w:bookmarkEnd w:id="4"/>
    </w:p>
    <w:p w14:paraId="6C352F82" w14:textId="77777777" w:rsidR="005D6B27" w:rsidRPr="005039E1" w:rsidRDefault="005D6B27" w:rsidP="000D6CC1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Os benefícios do serviço são:</w:t>
      </w:r>
    </w:p>
    <w:p w14:paraId="4F6C7F11" w14:textId="1FE2DC01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Conformidade com as melhores práticas do setor e com p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olíticas e padrões de segurança;</w:t>
      </w:r>
    </w:p>
    <w:p w14:paraId="10539E4C" w14:textId="73599DE4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Gestão de backup 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res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tore</w:t>
      </w:r>
      <w:proofErr w:type="spellEnd"/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 xml:space="preserve"> das informações do </w:t>
      </w:r>
      <w:r w:rsidR="000D6CC1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2EC8B65" w14:textId="0BC0CAEB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Capacidade técnica e comercial para se adaptar à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s novas necessidades do negócio;</w:t>
      </w:r>
    </w:p>
    <w:p w14:paraId="77AC8DF6" w14:textId="34358B45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Ter uma equipe de trabalho dedicada, com uma vasta experiência em serviços de monitoramento, backup e recuperação com a capacidade de gerenciar eventos, incidentes, solicitações e problemas, adicionando assim, uma melhoria contínua nos processos necessária par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a este serviço;</w:t>
      </w:r>
    </w:p>
    <w:p w14:paraId="31CF0257" w14:textId="16D73718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Gestão de serviços com níveis claros e mensuráveis de qualidade, através de um processo que aplica as melhores práticas, uso de ferramentas tecnológicas de qualidade comprovada no mercado,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 xml:space="preserve"> e com ampla experiência de uso;</w:t>
      </w:r>
    </w:p>
    <w:p w14:paraId="6D9993B4" w14:textId="20D13C3A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Relatório diário que contabiliza a disponibilidade das informações apoiadas, bem como a emissão de relatórios mensais mais orie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ntados para a gestão do serviço;</w:t>
      </w:r>
    </w:p>
    <w:p w14:paraId="37C440E6" w14:textId="462C5C6C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Inovação te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 xml:space="preserve">cnológica que permite ao </w:t>
      </w:r>
      <w:r w:rsidR="000D6CC1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visualizar permanentemente as mudanças tecnológicas e assimilar novas e melhores práticas 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dos serviços a serem oferecidos;</w:t>
      </w:r>
    </w:p>
    <w:p w14:paraId="7EFA8F98" w14:textId="462527CC" w:rsidR="005D6B27" w:rsidRPr="005039E1" w:rsidRDefault="005D6B27" w:rsidP="000D6CC1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Otimização da o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>peração da plataforma de backup;</w:t>
      </w:r>
    </w:p>
    <w:p w14:paraId="0C17E624" w14:textId="5C0B6618" w:rsidR="00BE3C02" w:rsidRPr="005039E1" w:rsidRDefault="005D6B27" w:rsidP="00BE3C02">
      <w:pPr>
        <w:pStyle w:val="PargrafodaLista"/>
        <w:numPr>
          <w:ilvl w:val="0"/>
          <w:numId w:val="1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Acesso à especialistas certificados que podem fornecer suporte consultiv</w:t>
      </w:r>
      <w:r w:rsidR="000D6CC1" w:rsidRPr="005039E1">
        <w:rPr>
          <w:rFonts w:ascii="Calibri" w:eastAsiaTheme="minorHAnsi" w:hAnsi="Calibri"/>
          <w:sz w:val="22"/>
          <w:szCs w:val="22"/>
          <w:lang w:eastAsia="en-US"/>
        </w:rPr>
        <w:t xml:space="preserve">o às equipes técnicas do </w:t>
      </w:r>
      <w:r w:rsidR="000D6CC1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, de acordo com as necessidades e exigências do negócio.</w:t>
      </w:r>
    </w:p>
    <w:p w14:paraId="781B60A4" w14:textId="50ACDFA2" w:rsidR="00D62804" w:rsidRPr="005039E1" w:rsidRDefault="00D62804" w:rsidP="00894F62">
      <w:pPr>
        <w:pStyle w:val="Titulo2"/>
      </w:pPr>
      <w:bookmarkStart w:id="5" w:name="_Toc170310971"/>
      <w:bookmarkStart w:id="6" w:name="_Toc99973652"/>
      <w:r w:rsidRPr="005039E1">
        <w:t>Diferenciais Comerciais</w:t>
      </w:r>
      <w:bookmarkEnd w:id="5"/>
    </w:p>
    <w:p w14:paraId="33E2E490" w14:textId="323F5047" w:rsidR="00B0232F" w:rsidRPr="005039E1" w:rsidRDefault="005D6B27" w:rsidP="000313A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Equipe técni</w:t>
      </w:r>
      <w:r w:rsidR="005039E1">
        <w:rPr>
          <w:rFonts w:ascii="Calibri" w:eastAsiaTheme="minorHAnsi" w:hAnsi="Calibri"/>
          <w:sz w:val="22"/>
          <w:szCs w:val="22"/>
          <w:lang w:eastAsia="en-US"/>
        </w:rPr>
        <w:t xml:space="preserve">ca orientada a métodos ágeis e </w:t>
      </w:r>
      <w:proofErr w:type="spellStart"/>
      <w:r w:rsidR="005039E1">
        <w:rPr>
          <w:rFonts w:ascii="Calibri" w:eastAsiaTheme="minorHAnsi" w:hAnsi="Calibri"/>
          <w:sz w:val="22"/>
          <w:szCs w:val="22"/>
          <w:lang w:eastAsia="en-US"/>
        </w:rPr>
        <w:t>DevO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ps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buscando a automação como linha principal para tratamento de incidentes e requisições (infra as a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code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>).</w:t>
      </w:r>
    </w:p>
    <w:p w14:paraId="579C4A6F" w14:textId="13E2C202" w:rsidR="00B0232F" w:rsidRPr="005039E1" w:rsidRDefault="00D62804" w:rsidP="00B0232F">
      <w:pPr>
        <w:pStyle w:val="Titulo1"/>
      </w:pPr>
      <w:bookmarkStart w:id="7" w:name="_Toc170310972"/>
      <w:r w:rsidRPr="005039E1">
        <w:t>Escopo</w:t>
      </w:r>
      <w:r w:rsidR="00ED64F3" w:rsidRPr="005039E1">
        <w:t xml:space="preserve"> de Atuação</w:t>
      </w:r>
      <w:bookmarkEnd w:id="7"/>
    </w:p>
    <w:p w14:paraId="49704427" w14:textId="77777777" w:rsidR="005D6B27" w:rsidRPr="005039E1" w:rsidRDefault="005D6B27" w:rsidP="000313A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Os produtos suportados por este serviço são:</w:t>
      </w:r>
    </w:p>
    <w:p w14:paraId="72F36854" w14:textId="7FBE240F" w:rsidR="005D6B27" w:rsidRPr="005039E1" w:rsidRDefault="005D6B27" w:rsidP="000313AA">
      <w:pPr>
        <w:pStyle w:val="PargrafodaLista"/>
        <w:numPr>
          <w:ilvl w:val="0"/>
          <w:numId w:val="1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lastRenderedPageBreak/>
        <w:t>Commvault</w:t>
      </w:r>
      <w:proofErr w:type="spellEnd"/>
      <w:r w:rsidR="000313AA" w:rsidRPr="005039E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EF64863" w14:textId="35699EA0" w:rsidR="005D6B27" w:rsidRPr="005039E1" w:rsidRDefault="005D6B27" w:rsidP="000313AA">
      <w:pPr>
        <w:pStyle w:val="PargrafodaLista"/>
        <w:numPr>
          <w:ilvl w:val="0"/>
          <w:numId w:val="1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Vee</w:t>
      </w:r>
      <w:r w:rsidR="009621E3" w:rsidRPr="005039E1">
        <w:rPr>
          <w:rFonts w:ascii="Calibri" w:eastAsiaTheme="minorHAnsi" w:hAnsi="Calibri"/>
          <w:sz w:val="22"/>
          <w:szCs w:val="22"/>
          <w:lang w:eastAsia="en-US"/>
        </w:rPr>
        <w:t>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m</w:t>
      </w:r>
      <w:proofErr w:type="spellEnd"/>
      <w:r w:rsidR="000313AA" w:rsidRPr="005039E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943F121" w14:textId="73DF1000" w:rsidR="005D6B27" w:rsidRPr="005039E1" w:rsidRDefault="005D6B27" w:rsidP="000313AA">
      <w:pPr>
        <w:pStyle w:val="PargrafodaLista"/>
        <w:numPr>
          <w:ilvl w:val="0"/>
          <w:numId w:val="1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NetBackup</w:t>
      </w:r>
      <w:proofErr w:type="spellEnd"/>
      <w:r w:rsidR="000313AA" w:rsidRPr="005039E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E865FDF" w14:textId="294EE512" w:rsidR="005D6B27" w:rsidRPr="005039E1" w:rsidRDefault="005D6B27" w:rsidP="000313AA">
      <w:pPr>
        <w:pStyle w:val="PargrafodaLista"/>
        <w:numPr>
          <w:ilvl w:val="0"/>
          <w:numId w:val="1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TSM</w:t>
      </w:r>
      <w:r w:rsidR="000313AA" w:rsidRPr="005039E1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14F6A3C7" w14:textId="1CBE02F7" w:rsidR="00D62804" w:rsidRPr="005039E1" w:rsidRDefault="005D6B27" w:rsidP="000313AA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Este serviço é ofertado em conjunto com a solução de backup, ou administração</w:t>
      </w:r>
      <w:r w:rsidR="000313AA" w:rsidRPr="005039E1">
        <w:rPr>
          <w:rFonts w:ascii="Calibri" w:eastAsiaTheme="minorHAnsi" w:hAnsi="Calibri"/>
          <w:sz w:val="22"/>
          <w:szCs w:val="22"/>
          <w:lang w:eastAsia="en-US"/>
        </w:rPr>
        <w:t xml:space="preserve"> da solução de backup do </w:t>
      </w:r>
      <w:r w:rsidR="000313AA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292D49B6" w14:textId="1AA9E924" w:rsidR="0039536F" w:rsidRPr="005039E1" w:rsidRDefault="0039536F" w:rsidP="00F87A71">
      <w:pPr>
        <w:pStyle w:val="Titulo1"/>
      </w:pPr>
      <w:bookmarkStart w:id="8" w:name="_Toc170310973"/>
      <w:r w:rsidRPr="005039E1">
        <w:t>Ofertas</w:t>
      </w:r>
      <w:bookmarkEnd w:id="8"/>
    </w:p>
    <w:p w14:paraId="0361BB03" w14:textId="7F3F3A61" w:rsidR="0039536F" w:rsidRPr="005039E1" w:rsidRDefault="004232D4" w:rsidP="0039536F">
      <w:pPr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O</w:t>
      </w:r>
      <w:r w:rsidR="0039536F" w:rsidRPr="005039E1">
        <w:rPr>
          <w:rFonts w:ascii="Calibri" w:eastAsiaTheme="minorHAnsi" w:hAnsi="Calibri"/>
          <w:sz w:val="22"/>
          <w:szCs w:val="22"/>
          <w:lang w:eastAsia="en-US"/>
        </w:rPr>
        <w:t xml:space="preserve"> Professional Services de Backup compreende serviços especializados para ajudar os </w:t>
      </w:r>
      <w:r w:rsidR="0039536F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39536F" w:rsidRPr="005039E1">
        <w:rPr>
          <w:rFonts w:ascii="Calibri" w:eastAsiaTheme="minorHAnsi" w:hAnsi="Calibri"/>
          <w:sz w:val="22"/>
          <w:szCs w:val="22"/>
          <w:lang w:eastAsia="en-US"/>
        </w:rPr>
        <w:t xml:space="preserve"> a projetar, implementar e gerenciar soluções abrangentes de backup e recuperação de dados. Isso inclui avaliação de necessidades, configuração personalizada, monitoramento proativo, manutenção contínua e suporte técnico, garantindo a segurança e disponibilidade dos dados críticos da empresa.</w:t>
      </w:r>
    </w:p>
    <w:p w14:paraId="019CA589" w14:textId="77777777" w:rsidR="004232D4" w:rsidRPr="005039E1" w:rsidRDefault="004232D4" w:rsidP="004232D4">
      <w:pPr>
        <w:pStyle w:val="Titulo1"/>
      </w:pPr>
      <w:bookmarkStart w:id="9" w:name="_Toc170310974"/>
      <w:r w:rsidRPr="005039E1">
        <w:t>Monitoramento</w:t>
      </w:r>
      <w:bookmarkEnd w:id="9"/>
    </w:p>
    <w:p w14:paraId="71872606" w14:textId="77777777" w:rsidR="004232D4" w:rsidRPr="005039E1" w:rsidRDefault="004232D4" w:rsidP="004232D4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Para uma gestão de forma preventiva e preditiva, a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disponibiliza relatórios para que o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SONDA.</w:t>
      </w:r>
    </w:p>
    <w:p w14:paraId="68CAA94B" w14:textId="77777777" w:rsidR="004232D4" w:rsidRPr="005039E1" w:rsidRDefault="004232D4" w:rsidP="004232D4">
      <w:pPr>
        <w:pStyle w:val="Ttulo3"/>
        <w:numPr>
          <w:ilvl w:val="0"/>
          <w:numId w:val="19"/>
        </w:numPr>
        <w:ind w:left="0" w:firstLine="0"/>
        <w:rPr>
          <w:rFonts w:cs="Arial"/>
          <w:b/>
          <w:sz w:val="22"/>
          <w:szCs w:val="22"/>
        </w:rPr>
      </w:pPr>
      <w:r w:rsidRPr="005039E1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41CD8407" w14:textId="77777777" w:rsidR="004232D4" w:rsidRPr="005039E1" w:rsidRDefault="004232D4" w:rsidP="004232D4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a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disponibiliza a ferramenta de Enterprise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Application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Integration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(EAI) para abertura automática de chamados ao detectar qualquer anomalia no ambiente e a ferramenta DEVOPS de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Dispacher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Automático para encaminhar para a equipe responsável pela tratativa, diminuindo o tempo de resposta de qualquer anormalidade apresentada.</w:t>
      </w:r>
    </w:p>
    <w:p w14:paraId="044EDBF6" w14:textId="77777777" w:rsidR="004232D4" w:rsidRPr="005039E1" w:rsidRDefault="004232D4" w:rsidP="004232D4">
      <w:pPr>
        <w:pStyle w:val="Ttulo3"/>
        <w:numPr>
          <w:ilvl w:val="0"/>
          <w:numId w:val="19"/>
        </w:numPr>
        <w:ind w:left="0" w:firstLine="0"/>
      </w:pPr>
      <w:r w:rsidRPr="005039E1">
        <w:rPr>
          <w:rFonts w:ascii="Calibri" w:hAnsi="Calibri" w:cs="Arial"/>
          <w:b/>
          <w:color w:val="auto"/>
          <w:sz w:val="22"/>
          <w:szCs w:val="22"/>
        </w:rPr>
        <w:t xml:space="preserve">Monitoramento via Console da Ferramenta </w:t>
      </w:r>
    </w:p>
    <w:p w14:paraId="099B7598" w14:textId="1EC275D5" w:rsidR="004232D4" w:rsidRPr="005039E1" w:rsidRDefault="004232D4" w:rsidP="004232D4">
      <w:pPr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Monitoração via console de execução de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jobs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>: Analisar os status das execuções dos Jobs programados e efetuar intervenções caso necessário.</w:t>
      </w:r>
    </w:p>
    <w:p w14:paraId="5B4C6994" w14:textId="305009F9" w:rsidR="00F87A71" w:rsidRPr="005039E1" w:rsidRDefault="00F87A71" w:rsidP="00F87A71">
      <w:pPr>
        <w:pStyle w:val="Titulo1"/>
      </w:pPr>
      <w:bookmarkStart w:id="10" w:name="_Toc170310975"/>
      <w:r w:rsidRPr="005039E1">
        <w:t>Premissas e Re</w:t>
      </w:r>
      <w:r w:rsidR="005D6B27" w:rsidRPr="005039E1">
        <w:t>quisitos</w:t>
      </w:r>
      <w:bookmarkEnd w:id="10"/>
    </w:p>
    <w:p w14:paraId="478C6457" w14:textId="64F1987E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Durante o processo de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Restore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, as disponibilidades dos dados recuperados estão relacionadas com a política e granularidade definida em 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fase de implementação. O </w:t>
      </w:r>
      <w:r w:rsidR="00BD12A5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deverá disponibilizar área suficiente para o armaz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enamento dos dados restaurados;</w:t>
      </w:r>
    </w:p>
    <w:p w14:paraId="6FF22ADB" w14:textId="6BE043EB" w:rsidR="005D6B27" w:rsidRPr="005039E1" w:rsidRDefault="00BD12A5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 com políticas de segurança e continuidade de negócios que exigem a realização de testes de </w:t>
      </w:r>
      <w:proofErr w:type="spellStart"/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>restore</w:t>
      </w:r>
      <w:proofErr w:type="spellEnd"/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, deverão solicitar esse serviço sob demanda. Esta solicitação é um objeto de uma </w:t>
      </w:r>
      <w:r w:rsidR="00E45DC6" w:rsidRPr="005039E1">
        <w:rPr>
          <w:rFonts w:ascii="Calibri" w:eastAsiaTheme="minorHAnsi" w:hAnsi="Calibri"/>
          <w:sz w:val="22"/>
          <w:szCs w:val="22"/>
          <w:lang w:eastAsia="en-US"/>
        </w:rPr>
        <w:t>P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roposta </w:t>
      </w:r>
      <w:r w:rsidR="00E45DC6" w:rsidRPr="005039E1">
        <w:rPr>
          <w:rFonts w:ascii="Calibri" w:eastAsiaTheme="minorHAnsi" w:hAnsi="Calibri"/>
          <w:sz w:val="22"/>
          <w:szCs w:val="22"/>
          <w:lang w:eastAsia="en-US"/>
        </w:rPr>
        <w:t>C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omercial como projeto especial. Neste caso, a equipe técnica da </w:t>
      </w:r>
      <w:r w:rsidR="005D6B27" w:rsidRPr="005039E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 adiciona um ambiente em paralelo, realiza a recuperação dos dados, e avalia os procedimentos de re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cuperação em casos de desastres;</w:t>
      </w:r>
    </w:p>
    <w:p w14:paraId="3862F7D0" w14:textId="388C0FA4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Para aplicação de política de backup deve ser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avaliado a compatibilidade da Aplicação/Sistema Operacional/Banco de D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ados com a 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m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atriz de compatibi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lidade da ferramenta de backup;</w:t>
      </w:r>
    </w:p>
    <w:p w14:paraId="47C9C1E6" w14:textId="104C750B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Serão garantidos os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restores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dos dados históricos para a mesma versão da aplicação no momento em que o backup foi executado. A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se resguarda ao direito de não manter versões históricas de mídia fora da retenção contratada. Será obedecida a matriz de intero</w:t>
      </w:r>
      <w:r w:rsidR="005039E1">
        <w:rPr>
          <w:rFonts w:ascii="Calibri" w:eastAsiaTheme="minorHAnsi" w:hAnsi="Calibri"/>
          <w:sz w:val="22"/>
          <w:szCs w:val="22"/>
          <w:lang w:eastAsia="en-US"/>
        </w:rPr>
        <w:t>perabilidade do fabricante. Ex.: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Backup de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VMWare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dos últimos 12 meses realizados com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VMWare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ESX 5.5 e ambiente atual</w:t>
      </w:r>
      <w:bookmarkStart w:id="11" w:name="_GoBack"/>
      <w:bookmarkEnd w:id="11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ativo com </w:t>
      </w:r>
      <w:proofErr w:type="spellStart"/>
      <w:r w:rsidRPr="005039E1">
        <w:rPr>
          <w:rFonts w:ascii="Calibri" w:eastAsiaTheme="minorHAnsi" w:hAnsi="Calibri"/>
          <w:sz w:val="22"/>
          <w:szCs w:val="22"/>
          <w:lang w:eastAsia="en-US"/>
        </w:rPr>
        <w:t>VMWare</w:t>
      </w:r>
      <w:proofErr w:type="spellEnd"/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ESX 7.0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2207E81" w14:textId="5EC01C58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Este serviço não contempla a troca de fitas dos robôs instalados no 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D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ata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C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enter do </w:t>
      </w:r>
      <w:r w:rsidR="00BD12A5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, caso o </w:t>
      </w:r>
      <w:r w:rsidR="00BD12A5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deseja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r,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verificar a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 xml:space="preserve"> contratação deste serviço 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alocação de um profissional para tal atividade;</w:t>
      </w:r>
    </w:p>
    <w:p w14:paraId="53A1EE8F" w14:textId="745B6BE2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Este serviço não con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templa a manutenção em hardware;</w:t>
      </w:r>
    </w:p>
    <w:p w14:paraId="0649B9AC" w14:textId="15BBD82F" w:rsidR="005D6B27" w:rsidRPr="005039E1" w:rsidRDefault="00D57D64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 xml:space="preserve"> deverá disponibiliza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r estrutura (servidor, disco, IP</w:t>
      </w:r>
      <w:r w:rsidR="005D6B27" w:rsidRPr="005039E1">
        <w:rPr>
          <w:rFonts w:ascii="Calibri" w:eastAsiaTheme="minorHAnsi" w:hAnsi="Calibri"/>
          <w:sz w:val="22"/>
          <w:szCs w:val="22"/>
          <w:lang w:eastAsia="en-US"/>
        </w:rPr>
        <w:t>...) temporária suficiente para armazenamento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dos dados restaurados;</w:t>
      </w:r>
    </w:p>
    <w:p w14:paraId="5564A72B" w14:textId="109E854B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Este 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>serviço não contempla a Solução de Backup;</w:t>
      </w:r>
    </w:p>
    <w:p w14:paraId="116DF27E" w14:textId="0B94E330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Este serviço não contempla o licenciamento da solução de backup n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>em o controle de licenciamento;</w:t>
      </w:r>
    </w:p>
    <w:p w14:paraId="41FC8565" w14:textId="73045176" w:rsidR="005D6B27" w:rsidRPr="005039E1" w:rsidRDefault="005D6B27" w:rsidP="000313AA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lastRenderedPageBreak/>
        <w:t>Este serviço não contempla a instalação dos agentes nos recursos ou con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 xml:space="preserve">figurações no SO, caso o </w:t>
      </w:r>
      <w:r w:rsidR="00D57D64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deseja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>r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contratar este serviço deve consultar 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>o descritivo de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Professional Service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>s</w:t>
      </w:r>
      <w:r w:rsidR="00BD12A5" w:rsidRPr="005039E1">
        <w:rPr>
          <w:rFonts w:ascii="Calibri" w:eastAsiaTheme="minorHAnsi" w:hAnsi="Calibri"/>
          <w:sz w:val="22"/>
          <w:szCs w:val="22"/>
          <w:lang w:eastAsia="en-US"/>
        </w:rPr>
        <w:t xml:space="preserve"> de SO;</w:t>
      </w:r>
    </w:p>
    <w:p w14:paraId="584977EA" w14:textId="5F4E0C96" w:rsidR="00CF4064" w:rsidRPr="005039E1" w:rsidRDefault="005D6B27" w:rsidP="00BD12A5">
      <w:pPr>
        <w:pStyle w:val="PargrafodaLista"/>
        <w:numPr>
          <w:ilvl w:val="0"/>
          <w:numId w:val="1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Este serviço n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>ão contempla a configuração de B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anco de Dados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 xml:space="preserve">, caso o </w:t>
      </w:r>
      <w:r w:rsidR="00D57D64"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deseja contratar este serviço deve consultar 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 xml:space="preserve">deve consultar o descritivo de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Professional Service de Banco de dados.</w:t>
      </w:r>
    </w:p>
    <w:p w14:paraId="0B457E94" w14:textId="3E949779" w:rsidR="00B0232F" w:rsidRPr="005039E1" w:rsidRDefault="00F87A71" w:rsidP="00B0232F">
      <w:pPr>
        <w:pStyle w:val="Titulo1"/>
      </w:pPr>
      <w:bookmarkStart w:id="12" w:name="_Toc170310976"/>
      <w:r w:rsidRPr="005039E1">
        <w:t>Matriz de Responsabilidades</w:t>
      </w:r>
      <w:bookmarkEnd w:id="12"/>
    </w:p>
    <w:p w14:paraId="664810B2" w14:textId="11225C39" w:rsidR="00F01327" w:rsidRPr="005039E1" w:rsidRDefault="00CF4064" w:rsidP="00D57D64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- Suporte;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 xml:space="preserve">I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– Informado e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 xml:space="preserve">C 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>– Consulta.</w:t>
      </w:r>
    </w:p>
    <w:tbl>
      <w:tblPr>
        <w:tblStyle w:val="TabeladeGradeClara"/>
        <w:tblW w:w="10065" w:type="dxa"/>
        <w:tblLook w:val="04A0" w:firstRow="1" w:lastRow="0" w:firstColumn="1" w:lastColumn="0" w:noHBand="0" w:noVBand="1"/>
      </w:tblPr>
      <w:tblGrid>
        <w:gridCol w:w="1307"/>
        <w:gridCol w:w="5744"/>
        <w:gridCol w:w="1313"/>
        <w:gridCol w:w="1701"/>
      </w:tblGrid>
      <w:tr w:rsidR="00CF4064" w:rsidRPr="005039E1" w14:paraId="220E710C" w14:textId="77777777" w:rsidTr="00D57D64">
        <w:trPr>
          <w:trHeight w:val="615"/>
        </w:trPr>
        <w:tc>
          <w:tcPr>
            <w:tcW w:w="1307" w:type="dxa"/>
            <w:shd w:val="clear" w:color="auto" w:fill="297FD5" w:themeFill="accent3"/>
            <w:vAlign w:val="center"/>
            <w:hideMark/>
          </w:tcPr>
          <w:p w14:paraId="6047E46B" w14:textId="54250286" w:rsidR="00CF4064" w:rsidRPr="005039E1" w:rsidRDefault="00CF4064" w:rsidP="00D57D64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Contratação Opcional?</w:t>
            </w:r>
            <w:r w:rsidR="00204412"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*</w:t>
            </w:r>
          </w:p>
        </w:tc>
        <w:tc>
          <w:tcPr>
            <w:tcW w:w="5744" w:type="dxa"/>
            <w:shd w:val="clear" w:color="auto" w:fill="297FD5" w:themeFill="accent3"/>
            <w:vAlign w:val="center"/>
            <w:hideMark/>
          </w:tcPr>
          <w:p w14:paraId="4112C3F9" w14:textId="77777777" w:rsidR="00CF4064" w:rsidRPr="005039E1" w:rsidRDefault="00CF4064" w:rsidP="00D57D64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1313" w:type="dxa"/>
            <w:shd w:val="clear" w:color="auto" w:fill="297FD5" w:themeFill="accent3"/>
            <w:vAlign w:val="center"/>
            <w:hideMark/>
          </w:tcPr>
          <w:p w14:paraId="07F4FEE7" w14:textId="34A88FF8" w:rsidR="00CF4064" w:rsidRPr="005039E1" w:rsidRDefault="00D57D64" w:rsidP="00D57D64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701" w:type="dxa"/>
            <w:shd w:val="clear" w:color="auto" w:fill="297FD5" w:themeFill="accent3"/>
            <w:vAlign w:val="center"/>
            <w:hideMark/>
          </w:tcPr>
          <w:p w14:paraId="5CE3966B" w14:textId="5202E844" w:rsidR="00CF4064" w:rsidRPr="005039E1" w:rsidRDefault="00CF4064" w:rsidP="00D57D64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C</w:t>
            </w:r>
            <w:r w:rsidR="00D57D64" w:rsidRPr="005039E1">
              <w:rPr>
                <w:rFonts w:ascii="Calibri" w:hAnsi="Calibri" w:cs="Calibri"/>
                <w:b/>
                <w:color w:val="FFFFFF" w:themeColor="background1"/>
                <w:szCs w:val="20"/>
              </w:rPr>
              <w:t>LIENTE</w:t>
            </w:r>
          </w:p>
        </w:tc>
      </w:tr>
      <w:tr w:rsidR="00CF4064" w:rsidRPr="005039E1" w14:paraId="0C7A1F1B" w14:textId="77777777" w:rsidTr="00D57D64">
        <w:trPr>
          <w:trHeight w:val="195"/>
        </w:trPr>
        <w:tc>
          <w:tcPr>
            <w:tcW w:w="1307" w:type="dxa"/>
            <w:hideMark/>
          </w:tcPr>
          <w:p w14:paraId="1F139B99" w14:textId="69F61F00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Sim</w:t>
            </w:r>
          </w:p>
        </w:tc>
        <w:tc>
          <w:tcPr>
            <w:tcW w:w="5744" w:type="dxa"/>
            <w:hideMark/>
          </w:tcPr>
          <w:p w14:paraId="4E4505F0" w14:textId="77777777" w:rsidR="00CF4064" w:rsidRPr="005039E1" w:rsidRDefault="00CF4064" w:rsidP="0033217A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Gestão do Portal</w:t>
            </w:r>
          </w:p>
        </w:tc>
        <w:tc>
          <w:tcPr>
            <w:tcW w:w="1313" w:type="dxa"/>
            <w:hideMark/>
          </w:tcPr>
          <w:p w14:paraId="49019B5C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01" w:type="dxa"/>
            <w:hideMark/>
          </w:tcPr>
          <w:p w14:paraId="5DB1E3B9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S/A</w:t>
            </w:r>
          </w:p>
        </w:tc>
      </w:tr>
      <w:tr w:rsidR="00CF4064" w:rsidRPr="005039E1" w14:paraId="621F8E49" w14:textId="77777777" w:rsidTr="00D57D64">
        <w:trPr>
          <w:trHeight w:val="315"/>
        </w:trPr>
        <w:tc>
          <w:tcPr>
            <w:tcW w:w="1307" w:type="dxa"/>
            <w:hideMark/>
          </w:tcPr>
          <w:p w14:paraId="4407FBB1" w14:textId="66D4B8EE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Sim</w:t>
            </w:r>
          </w:p>
        </w:tc>
        <w:tc>
          <w:tcPr>
            <w:tcW w:w="5744" w:type="dxa"/>
            <w:hideMark/>
          </w:tcPr>
          <w:p w14:paraId="014F8794" w14:textId="50DB2777" w:rsidR="00CF4064" w:rsidRPr="005039E1" w:rsidRDefault="00CF4064" w:rsidP="0033217A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 xml:space="preserve">Gestão de </w:t>
            </w:r>
            <w:r w:rsidR="00251D00" w:rsidRPr="005039E1">
              <w:rPr>
                <w:rFonts w:ascii="Calibri" w:hAnsi="Calibri" w:cs="Calibri"/>
                <w:szCs w:val="20"/>
              </w:rPr>
              <w:t>Subscrições</w:t>
            </w:r>
          </w:p>
        </w:tc>
        <w:tc>
          <w:tcPr>
            <w:tcW w:w="1313" w:type="dxa"/>
            <w:hideMark/>
          </w:tcPr>
          <w:p w14:paraId="6310D6CF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01" w:type="dxa"/>
            <w:hideMark/>
          </w:tcPr>
          <w:p w14:paraId="180DBD30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 S/A</w:t>
            </w:r>
          </w:p>
        </w:tc>
      </w:tr>
      <w:tr w:rsidR="00CF4064" w:rsidRPr="005039E1" w14:paraId="066250F4" w14:textId="77777777" w:rsidTr="00D57D64">
        <w:trPr>
          <w:trHeight w:val="315"/>
        </w:trPr>
        <w:tc>
          <w:tcPr>
            <w:tcW w:w="1307" w:type="dxa"/>
            <w:hideMark/>
          </w:tcPr>
          <w:p w14:paraId="6FA27B08" w14:textId="2E4C4C42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44" w:type="dxa"/>
          </w:tcPr>
          <w:p w14:paraId="4756CD0E" w14:textId="774D9BD3" w:rsidR="00CF4064" w:rsidRPr="005039E1" w:rsidRDefault="00D57D64" w:rsidP="0033217A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 xml:space="preserve">Criar </w:t>
            </w:r>
            <w:proofErr w:type="spellStart"/>
            <w:r w:rsidRPr="005039E1">
              <w:rPr>
                <w:rFonts w:ascii="Calibri" w:hAnsi="Calibri" w:cs="Calibri"/>
                <w:szCs w:val="20"/>
              </w:rPr>
              <w:t>Tenant</w:t>
            </w:r>
            <w:proofErr w:type="spellEnd"/>
            <w:r w:rsidRPr="005039E1">
              <w:rPr>
                <w:rFonts w:ascii="Calibri" w:hAnsi="Calibri" w:cs="Calibri"/>
                <w:szCs w:val="20"/>
              </w:rPr>
              <w:t xml:space="preserve"> para o </w:t>
            </w:r>
            <w:r w:rsidRPr="005039E1">
              <w:rPr>
                <w:rFonts w:ascii="Calibri" w:hAnsi="Calibri" w:cs="Calibri"/>
                <w:b/>
                <w:szCs w:val="20"/>
              </w:rPr>
              <w:t>CLIENTE</w:t>
            </w:r>
          </w:p>
        </w:tc>
        <w:tc>
          <w:tcPr>
            <w:tcW w:w="1313" w:type="dxa"/>
            <w:hideMark/>
          </w:tcPr>
          <w:p w14:paraId="68056255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01" w:type="dxa"/>
            <w:hideMark/>
          </w:tcPr>
          <w:p w14:paraId="319A4553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I</w:t>
            </w:r>
          </w:p>
        </w:tc>
      </w:tr>
      <w:tr w:rsidR="00CF4064" w:rsidRPr="005039E1" w14:paraId="7259B4C3" w14:textId="77777777" w:rsidTr="00D57D64">
        <w:trPr>
          <w:trHeight w:val="315"/>
        </w:trPr>
        <w:tc>
          <w:tcPr>
            <w:tcW w:w="1307" w:type="dxa"/>
            <w:hideMark/>
          </w:tcPr>
          <w:p w14:paraId="04C86547" w14:textId="4281091A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Não</w:t>
            </w:r>
          </w:p>
        </w:tc>
        <w:tc>
          <w:tcPr>
            <w:tcW w:w="5744" w:type="dxa"/>
          </w:tcPr>
          <w:p w14:paraId="16E216F5" w14:textId="0F96FF84" w:rsidR="00CF4064" w:rsidRPr="005039E1" w:rsidRDefault="00CF4064" w:rsidP="0033217A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 xml:space="preserve">Gestão dos </w:t>
            </w:r>
            <w:r w:rsidR="00D57D64" w:rsidRPr="005039E1">
              <w:rPr>
                <w:rFonts w:ascii="Calibri" w:hAnsi="Calibri" w:cs="Calibri"/>
                <w:szCs w:val="20"/>
              </w:rPr>
              <w:t xml:space="preserve">usuários do </w:t>
            </w:r>
            <w:r w:rsidR="00D57D64" w:rsidRPr="005039E1">
              <w:rPr>
                <w:rFonts w:ascii="Calibri" w:hAnsi="Calibri" w:cs="Calibri"/>
                <w:b/>
                <w:szCs w:val="20"/>
              </w:rPr>
              <w:t>CLIENTE</w:t>
            </w:r>
            <w:r w:rsidRPr="005039E1">
              <w:rPr>
                <w:rFonts w:ascii="Calibri" w:hAnsi="Calibri" w:cs="Calibri"/>
                <w:szCs w:val="20"/>
              </w:rPr>
              <w:t xml:space="preserve"> no portal</w:t>
            </w:r>
          </w:p>
        </w:tc>
        <w:tc>
          <w:tcPr>
            <w:tcW w:w="1313" w:type="dxa"/>
            <w:hideMark/>
          </w:tcPr>
          <w:p w14:paraId="7A977763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R</w:t>
            </w:r>
          </w:p>
        </w:tc>
        <w:tc>
          <w:tcPr>
            <w:tcW w:w="1701" w:type="dxa"/>
            <w:hideMark/>
          </w:tcPr>
          <w:p w14:paraId="1FCC0E9F" w14:textId="77777777" w:rsidR="00CF4064" w:rsidRPr="005039E1" w:rsidRDefault="00CF4064" w:rsidP="0033217A">
            <w:pPr>
              <w:spacing w:line="360" w:lineRule="auto"/>
              <w:jc w:val="center"/>
              <w:rPr>
                <w:rFonts w:ascii="Calibri" w:hAnsi="Calibri" w:cs="Calibri"/>
                <w:szCs w:val="20"/>
              </w:rPr>
            </w:pPr>
            <w:r w:rsidRPr="005039E1">
              <w:rPr>
                <w:rFonts w:ascii="Calibri" w:hAnsi="Calibri" w:cs="Calibri"/>
                <w:szCs w:val="20"/>
              </w:rPr>
              <w:t>S/A</w:t>
            </w:r>
          </w:p>
        </w:tc>
      </w:tr>
    </w:tbl>
    <w:p w14:paraId="2FD5EC35" w14:textId="2815F36A" w:rsidR="00894F62" w:rsidRPr="005039E1" w:rsidRDefault="00204412" w:rsidP="00894F62">
      <w:pPr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Nota: *N</w:t>
      </w:r>
      <w:r w:rsidR="00894F62" w:rsidRPr="005039E1">
        <w:rPr>
          <w:rFonts w:ascii="Calibri" w:eastAsiaTheme="minorHAnsi" w:hAnsi="Calibri"/>
          <w:sz w:val="22"/>
          <w:szCs w:val="22"/>
          <w:lang w:eastAsia="en-US"/>
        </w:rPr>
        <w:t>ão é aplicável onde a infraestrutura de backup não estar no Data</w:t>
      </w:r>
      <w:r w:rsidR="00D57D64" w:rsidRPr="005039E1">
        <w:rPr>
          <w:rFonts w:ascii="Calibri" w:eastAsiaTheme="minorHAnsi" w:hAnsi="Calibri"/>
          <w:sz w:val="22"/>
          <w:szCs w:val="22"/>
          <w:lang w:eastAsia="en-US"/>
        </w:rPr>
        <w:t xml:space="preserve"> C</w:t>
      </w:r>
      <w:r w:rsidR="00894F62" w:rsidRPr="005039E1">
        <w:rPr>
          <w:rFonts w:ascii="Calibri" w:eastAsiaTheme="minorHAnsi" w:hAnsi="Calibri"/>
          <w:sz w:val="22"/>
          <w:szCs w:val="22"/>
          <w:lang w:eastAsia="en-US"/>
        </w:rPr>
        <w:t xml:space="preserve">enter da </w:t>
      </w:r>
      <w:r w:rsidR="00894F62" w:rsidRPr="005039E1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="00D57D64" w:rsidRPr="005039E1">
        <w:rPr>
          <w:rFonts w:ascii="Calibri" w:eastAsiaTheme="minorHAnsi" w:hAnsi="Calibri"/>
          <w:b/>
          <w:sz w:val="22"/>
          <w:szCs w:val="22"/>
          <w:lang w:eastAsia="en-US"/>
        </w:rPr>
        <w:t>ONDA.</w:t>
      </w:r>
    </w:p>
    <w:p w14:paraId="0BE4B731" w14:textId="35AC8501" w:rsidR="00BE3C02" w:rsidRPr="005039E1" w:rsidRDefault="00F87A71" w:rsidP="00894F62">
      <w:pPr>
        <w:pStyle w:val="Titulo1"/>
      </w:pPr>
      <w:bookmarkStart w:id="13" w:name="_Toc170310977"/>
      <w:r w:rsidRPr="005039E1">
        <w:t>Requisição de Serviço</w:t>
      </w:r>
      <w:bookmarkEnd w:id="6"/>
      <w:bookmarkEnd w:id="13"/>
    </w:p>
    <w:p w14:paraId="1638A8B0" w14:textId="0AA13146" w:rsidR="00894F62" w:rsidRPr="005039E1" w:rsidRDefault="0008534F" w:rsidP="0008534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Uma requisição</w:t>
      </w:r>
      <w:r w:rsidR="00894F62" w:rsidRPr="005039E1">
        <w:rPr>
          <w:rFonts w:ascii="Calibri" w:eastAsiaTheme="minorHAnsi" w:hAnsi="Calibri"/>
          <w:sz w:val="22"/>
          <w:szCs w:val="22"/>
          <w:lang w:eastAsia="en-US"/>
        </w:rPr>
        <w:t>/solicitação d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e serviço é um pedido do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894F62" w:rsidRPr="005039E1">
        <w:rPr>
          <w:rFonts w:ascii="Calibri" w:eastAsiaTheme="minorHAnsi" w:hAnsi="Calibri"/>
          <w:sz w:val="22"/>
          <w:szCs w:val="22"/>
          <w:lang w:eastAsia="en-US"/>
        </w:rPr>
        <w:t xml:space="preserve"> por informações ou recomendações, ou por uma alteração de um item de configuração (IC). Dispondo-se a oferecer um nível de serviço de excelência é listado no quadro abaixo as requisições permitidas para essa oferta.  </w:t>
      </w:r>
    </w:p>
    <w:p w14:paraId="4BDA21C2" w14:textId="5589F0E9" w:rsidR="00894F62" w:rsidRDefault="00894F62" w:rsidP="0008534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No quadro abaixo é listado as atividades possíveis a ser requerida para um profissional do serviço descrito:</w:t>
      </w:r>
    </w:p>
    <w:tbl>
      <w:tblPr>
        <w:tblStyle w:val="TabeladeGradeClara"/>
        <w:tblW w:w="10065" w:type="dxa"/>
        <w:tblInd w:w="-5" w:type="dxa"/>
        <w:tblLook w:val="04A0" w:firstRow="1" w:lastRow="0" w:firstColumn="1" w:lastColumn="0" w:noHBand="0" w:noVBand="1"/>
      </w:tblPr>
      <w:tblGrid>
        <w:gridCol w:w="3907"/>
        <w:gridCol w:w="2756"/>
        <w:gridCol w:w="3402"/>
      </w:tblGrid>
      <w:tr w:rsidR="000D00C9" w14:paraId="76EB4D9F" w14:textId="77777777" w:rsidTr="000D00C9">
        <w:trPr>
          <w:trHeight w:val="559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26F10E17" w14:textId="77777777" w:rsidR="000D00C9" w:rsidRDefault="000D00C9">
            <w:pPr>
              <w:jc w:val="left"/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>Requisição</w:t>
            </w:r>
            <w:proofErr w:type="spellEnd"/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5366FD70" w14:textId="324F7E08" w:rsidR="000D00C9" w:rsidRDefault="000D00C9" w:rsidP="000D00C9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>Classificação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>Backup</w:t>
            </w:r>
            <w:proofErr w:type="spellEnd"/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7FD5" w:themeFill="accent3"/>
            <w:vAlign w:val="center"/>
            <w:hideMark/>
          </w:tcPr>
          <w:p w14:paraId="594CEB4A" w14:textId="77777777" w:rsidR="000D00C9" w:rsidRDefault="000D00C9" w:rsidP="000D00C9">
            <w:pPr>
              <w:ind w:right="172"/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 xml:space="preserve">Tempo de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Cs w:val="20"/>
                <w:lang w:val="es-ES_tradnl" w:eastAsia="pt-BR"/>
              </w:rPr>
              <w:t>Solução</w:t>
            </w:r>
            <w:proofErr w:type="spellEnd"/>
          </w:p>
        </w:tc>
      </w:tr>
      <w:tr w:rsidR="000D00C9" w14:paraId="07EDAE0B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0DC180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Restore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acima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8.0 TB)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C5255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191955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71F12872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3A9F82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Restore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 (até 4.8 TB)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060AF5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EE9C5C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7396287E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A99201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Restore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 (até 1.4 TB)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52FC1E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B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A6304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4D079D57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9C65C7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Restore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 (até 800 GB)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F974D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A97C05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26F0AEEC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2BDE0F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Banco de Dados até 14 dias e acima de 8.0 TB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F2BBEC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7BC2E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0B2CD306" w14:textId="77777777" w:rsidTr="000D00C9">
        <w:trPr>
          <w:trHeight w:val="211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736481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Banco de Dados até 14 dias e 4.8 TB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E3AD3A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5D1CF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7982C547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A855DC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 de Banco de Dados até 14 dias e 1.4 TB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F2BA1B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B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CE6844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48290173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D7270F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Banco de Dados até 14 dias e 800 GB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2447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C9A0C1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4BCBA14C" w14:textId="77777777" w:rsidTr="000D00C9">
        <w:trPr>
          <w:trHeight w:val="367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2983FF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Banco de dados acima de 14 dias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B9CB1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EA97BB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36E46A1F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F7BB92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Sistema Operacional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E3BD83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EF6AE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1EA9247B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C7F137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Executar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Restore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do Servidor Virtual até 4.8TB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7DAF88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32E5DD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 + RTO</w:t>
            </w:r>
          </w:p>
        </w:tc>
      </w:tr>
      <w:tr w:rsidR="000D00C9" w14:paraId="0526536F" w14:textId="77777777" w:rsidTr="000D00C9">
        <w:trPr>
          <w:trHeight w:val="9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E94A50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Criar, Alterar e Excluir </w:t>
            </w:r>
            <w:proofErr w:type="spellStart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Job</w:t>
            </w:r>
            <w:proofErr w:type="spellEnd"/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backup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D4D1C7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0698F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4E9EFA95" w14:textId="77777777" w:rsidTr="000D00C9">
        <w:trPr>
          <w:trHeight w:val="46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B82CC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backup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Eventual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B58BCD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46E3D4" w14:textId="77777777" w:rsidR="000D00C9" w:rsidRPr="005325A4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 + tempo do backup</w:t>
            </w:r>
          </w:p>
        </w:tc>
      </w:tr>
      <w:tr w:rsidR="000D00C9" w14:paraId="7F22E2CE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FF34E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lastRenderedPageBreak/>
              <w:t>Executar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backup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Anual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25D49F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2E092E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593A4E84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63E268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Falha/Tratativa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F1AD7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319553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1DDC39B5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E31517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Gestão de Capacidade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ACE5DB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B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1229D9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51C3088D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9EA05C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Remover relatório  automatizado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7AA77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51DE1F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6FBED2B8" w14:textId="77777777" w:rsidTr="000D00C9">
        <w:trPr>
          <w:trHeight w:val="219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2BF964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Incluir, Alterar ou remover Servidor no relatório automatizado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0B47F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728757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67E9B929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A6CCF1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Horários de backup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10E2D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ED913D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57C58931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71383C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Duração de backup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86FD35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A4EA83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3CC8E427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2D0254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Políticas de backup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BF2F13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6B0C7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7BF33536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E5803E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Retenção de políticas de backup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75765B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0C6108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6923A234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4D597F" w14:textId="21436911" w:rsidR="000D00C9" w:rsidRDefault="000D00C9" w:rsidP="00E03937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Trocar e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Movimentar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fitas</w:t>
            </w:r>
            <w:proofErr w:type="spellEnd"/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6F20CB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D8D9AE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760913CD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12955C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Incluir e Excluir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fitas</w:t>
            </w:r>
            <w:proofErr w:type="spellEnd"/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F8B68D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B36A7D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5BF98105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4989DF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Descartar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fitas</w:t>
            </w:r>
            <w:proofErr w:type="spellEnd"/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3B0728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3456F9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35F469DC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D792AF" w14:textId="77777777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Enviar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mídia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site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 externo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22EC5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0AF8B7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47BF75C0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8DED9E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Retornar mídia para site Principal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E1B849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162CC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45E9E80C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1522D7" w14:textId="3CDA3A8F" w:rsidR="000D00C9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 xml:space="preserve">Guardar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Mídias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*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E64EA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733CA2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2947DCAC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77DBFE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baixa complexidade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3F6BA0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C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359953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26E9D40E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E96BF4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média complexidade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DF55B1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D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FF79A1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  <w:tr w:rsidR="000D00C9" w14:paraId="2BA7892F" w14:textId="77777777" w:rsidTr="000D00C9">
        <w:trPr>
          <w:trHeight w:val="315"/>
        </w:trPr>
        <w:tc>
          <w:tcPr>
            <w:tcW w:w="39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78EA42" w14:textId="77777777" w:rsidR="000D00C9" w:rsidRPr="005325A4" w:rsidRDefault="000D00C9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325A4">
              <w:rPr>
                <w:rFonts w:ascii="Calibri" w:hAnsi="Calibri" w:cs="Calibri"/>
                <w:color w:val="000000"/>
                <w:szCs w:val="20"/>
                <w:lang w:eastAsia="pt-BR"/>
              </w:rPr>
              <w:t>Gerar relatório de alta complexidade</w:t>
            </w:r>
          </w:p>
        </w:tc>
        <w:tc>
          <w:tcPr>
            <w:tcW w:w="27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BFE9A1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/>
              </w:rPr>
              <w:t>F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6C23D6" w14:textId="77777777" w:rsidR="000D00C9" w:rsidRDefault="000D00C9">
            <w:pPr>
              <w:jc w:val="center"/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val="es-ES_tradnl" w:eastAsia="pt-BR"/>
              </w:rPr>
              <w:t>Conforme TS contratado</w:t>
            </w:r>
          </w:p>
        </w:tc>
      </w:tr>
    </w:tbl>
    <w:p w14:paraId="6D0DAFE1" w14:textId="77777777" w:rsidR="005325A4" w:rsidRDefault="005325A4" w:rsidP="00251D0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</w:p>
    <w:p w14:paraId="1DA777A6" w14:textId="632A6911" w:rsidR="00894F62" w:rsidRPr="005039E1" w:rsidRDefault="00251D00" w:rsidP="00251D0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5039E1">
        <w:rPr>
          <w:rFonts w:ascii="Calibri" w:eastAsiaTheme="minorHAnsi" w:hAnsi="Calibri"/>
          <w:sz w:val="22"/>
          <w:szCs w:val="22"/>
          <w:lang w:eastAsia="en-US"/>
        </w:rPr>
        <w:t>Nota: *N</w:t>
      </w:r>
      <w:r w:rsidR="00894F62" w:rsidRPr="005039E1">
        <w:rPr>
          <w:rFonts w:ascii="Calibri" w:eastAsiaTheme="minorHAnsi" w:hAnsi="Calibri"/>
          <w:sz w:val="22"/>
          <w:szCs w:val="22"/>
          <w:lang w:eastAsia="en-US"/>
        </w:rPr>
        <w:t>ão é aplicável onde a infraestrutura de backup não está localizada no Data</w:t>
      </w:r>
      <w:r w:rsidRPr="005039E1">
        <w:rPr>
          <w:rFonts w:ascii="Calibri" w:eastAsiaTheme="minorHAnsi" w:hAnsi="Calibri"/>
          <w:sz w:val="22"/>
          <w:szCs w:val="22"/>
          <w:lang w:eastAsia="en-US"/>
        </w:rPr>
        <w:t xml:space="preserve"> Center da </w:t>
      </w:r>
      <w:r w:rsidRPr="005039E1">
        <w:rPr>
          <w:rFonts w:ascii="Calibri" w:eastAsiaTheme="minorHAnsi" w:hAnsi="Calibri"/>
          <w:b/>
          <w:sz w:val="22"/>
          <w:szCs w:val="22"/>
          <w:lang w:eastAsia="en-US"/>
        </w:rPr>
        <w:t>SONDA.</w:t>
      </w:r>
    </w:p>
    <w:p w14:paraId="29418EE9" w14:textId="77777777" w:rsidR="00894F62" w:rsidRPr="005039E1" w:rsidRDefault="00894F62" w:rsidP="00894F62"/>
    <w:p w14:paraId="1541F037" w14:textId="77777777" w:rsidR="00894F62" w:rsidRPr="005039E1" w:rsidRDefault="00894F62" w:rsidP="00894F62"/>
    <w:p w14:paraId="2CE033E9" w14:textId="029AFD96" w:rsidR="00E472A0" w:rsidRPr="005039E1" w:rsidRDefault="00E472A0" w:rsidP="00894F62">
      <w:pPr>
        <w:spacing w:before="240"/>
        <w:rPr>
          <w:lang w:eastAsia="pt-BR"/>
        </w:rPr>
      </w:pPr>
      <w:r w:rsidRPr="005039E1">
        <w:rPr>
          <w:lang w:eastAsia="pt-BR"/>
        </w:rPr>
        <w:br w:type="page"/>
      </w:r>
    </w:p>
    <w:p w14:paraId="33DE3810" w14:textId="2F2C4E2E" w:rsidR="00226EED" w:rsidRDefault="00E472A0" w:rsidP="00BE3C02">
      <w:pPr>
        <w:tabs>
          <w:tab w:val="left" w:pos="1843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661D3B99">
            <wp:simplePos x="0" y="0"/>
            <wp:positionH relativeFrom="page">
              <wp:posOffset>28575</wp:posOffset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0774" w14:textId="77777777" w:rsidR="00F444D4" w:rsidRDefault="00F444D4" w:rsidP="001C6DE5">
      <w:r>
        <w:separator/>
      </w:r>
    </w:p>
  </w:endnote>
  <w:endnote w:type="continuationSeparator" w:id="0">
    <w:p w14:paraId="430EA046" w14:textId="77777777" w:rsidR="00F444D4" w:rsidRDefault="00F444D4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135CD5" w:rsidRDefault="00135CD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135CD5" w:rsidRDefault="00135CD5" w:rsidP="006A3034">
    <w:pPr>
      <w:pStyle w:val="Rodap"/>
      <w:ind w:right="360" w:firstLine="360"/>
    </w:pPr>
  </w:p>
  <w:p w14:paraId="2BFB6D3C" w14:textId="77777777" w:rsidR="001B4A53" w:rsidRDefault="001B4A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911B32" w:rsidRDefault="00911B32" w:rsidP="00911B32"/>
  <w:p w14:paraId="334A312E" w14:textId="4D599D64" w:rsidR="00911B32" w:rsidRPr="0037697E" w:rsidRDefault="00911B32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0D00C9">
      <w:rPr>
        <w:rFonts w:ascii="Roboto Medium" w:hAnsi="Roboto Medium"/>
        <w:noProof/>
        <w:color w:val="BFBFBF" w:themeColor="background1" w:themeShade="BF"/>
      </w:rPr>
      <w:t>7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6075B754" w:rsidR="00911B32" w:rsidRDefault="00911B32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4E0711" w14:textId="77777777" w:rsidR="0038581D" w:rsidRPr="0038581D" w:rsidRDefault="0038581D" w:rsidP="0038581D">
    <w:pPr>
      <w:pStyle w:val="Rodap"/>
      <w:rPr>
        <w:rFonts w:asciiTheme="majorHAnsi" w:hAnsiTheme="majorHAnsi" w:cstheme="majorHAnsi"/>
        <w:sz w:val="16"/>
        <w:szCs w:val="16"/>
      </w:rPr>
    </w:pPr>
    <w:r w:rsidRPr="0038581D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38581D">
      <w:rPr>
        <w:rFonts w:asciiTheme="majorHAnsi" w:hAnsiTheme="majorHAnsi" w:cstheme="majorHAnsi"/>
        <w:sz w:val="16"/>
        <w:szCs w:val="16"/>
      </w:rPr>
      <w:t>| Sua</w:t>
    </w:r>
    <w:proofErr w:type="gramEnd"/>
    <w:r w:rsidRPr="0038581D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7C4CD5FC" w:rsidR="00911B32" w:rsidRPr="0037697E" w:rsidRDefault="00911B32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135CD5" w:rsidRDefault="00135CD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0F53" w14:textId="77777777" w:rsidR="00F444D4" w:rsidRDefault="00F444D4" w:rsidP="001C6DE5">
      <w:r>
        <w:separator/>
      </w:r>
    </w:p>
  </w:footnote>
  <w:footnote w:type="continuationSeparator" w:id="0">
    <w:p w14:paraId="5DD0259C" w14:textId="77777777" w:rsidR="00F444D4" w:rsidRDefault="00F444D4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246E6B" w:rsidRDefault="00246E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135CD5" w:rsidRDefault="00246E6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1B4A53" w:rsidRDefault="001B4A5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E23B24" w:rsidRDefault="00CF1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B24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1159"/>
    <w:multiLevelType w:val="hybridMultilevel"/>
    <w:tmpl w:val="911A1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2BC4"/>
    <w:multiLevelType w:val="hybridMultilevel"/>
    <w:tmpl w:val="55E0EE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F52"/>
    <w:multiLevelType w:val="hybridMultilevel"/>
    <w:tmpl w:val="EF3A42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42DD"/>
    <w:multiLevelType w:val="hybridMultilevel"/>
    <w:tmpl w:val="A2947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A18"/>
    <w:multiLevelType w:val="multilevel"/>
    <w:tmpl w:val="9D48506E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55756F"/>
    <w:multiLevelType w:val="hybridMultilevel"/>
    <w:tmpl w:val="C8D894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313AA"/>
    <w:rsid w:val="0006639D"/>
    <w:rsid w:val="0008534F"/>
    <w:rsid w:val="000858BB"/>
    <w:rsid w:val="00087FDB"/>
    <w:rsid w:val="000964B0"/>
    <w:rsid w:val="000C2C5A"/>
    <w:rsid w:val="000D00C9"/>
    <w:rsid w:val="000D0A98"/>
    <w:rsid w:val="000D3E14"/>
    <w:rsid w:val="000D6CC1"/>
    <w:rsid w:val="001112A6"/>
    <w:rsid w:val="00116320"/>
    <w:rsid w:val="001262A9"/>
    <w:rsid w:val="001315E0"/>
    <w:rsid w:val="00135CD5"/>
    <w:rsid w:val="001752EA"/>
    <w:rsid w:val="00181CA3"/>
    <w:rsid w:val="001B4A53"/>
    <w:rsid w:val="001B4CB1"/>
    <w:rsid w:val="001C6DE5"/>
    <w:rsid w:val="001D6D28"/>
    <w:rsid w:val="001E2F3F"/>
    <w:rsid w:val="001F39F0"/>
    <w:rsid w:val="00204412"/>
    <w:rsid w:val="00226EED"/>
    <w:rsid w:val="00236E53"/>
    <w:rsid w:val="00241E56"/>
    <w:rsid w:val="00246E6B"/>
    <w:rsid w:val="00246FC9"/>
    <w:rsid w:val="00251D00"/>
    <w:rsid w:val="00275D44"/>
    <w:rsid w:val="00284523"/>
    <w:rsid w:val="002A01F7"/>
    <w:rsid w:val="002B1416"/>
    <w:rsid w:val="002F1123"/>
    <w:rsid w:val="00304439"/>
    <w:rsid w:val="00305DE3"/>
    <w:rsid w:val="00312D49"/>
    <w:rsid w:val="00361159"/>
    <w:rsid w:val="00363C20"/>
    <w:rsid w:val="003751CA"/>
    <w:rsid w:val="0037697E"/>
    <w:rsid w:val="0038581D"/>
    <w:rsid w:val="0039536F"/>
    <w:rsid w:val="003A2A09"/>
    <w:rsid w:val="003B48F7"/>
    <w:rsid w:val="003B7CAE"/>
    <w:rsid w:val="00400686"/>
    <w:rsid w:val="0042190C"/>
    <w:rsid w:val="004232D4"/>
    <w:rsid w:val="004349AA"/>
    <w:rsid w:val="0046281E"/>
    <w:rsid w:val="00475750"/>
    <w:rsid w:val="00476B9D"/>
    <w:rsid w:val="004829FA"/>
    <w:rsid w:val="004C3B6A"/>
    <w:rsid w:val="004D015A"/>
    <w:rsid w:val="004E3BAD"/>
    <w:rsid w:val="005039E1"/>
    <w:rsid w:val="005119FB"/>
    <w:rsid w:val="005223BB"/>
    <w:rsid w:val="005227C0"/>
    <w:rsid w:val="00524AC9"/>
    <w:rsid w:val="005325A4"/>
    <w:rsid w:val="00547B69"/>
    <w:rsid w:val="005A373C"/>
    <w:rsid w:val="005B0F29"/>
    <w:rsid w:val="005B15EC"/>
    <w:rsid w:val="005C619E"/>
    <w:rsid w:val="005D0123"/>
    <w:rsid w:val="005D6B27"/>
    <w:rsid w:val="005D75A4"/>
    <w:rsid w:val="005E612E"/>
    <w:rsid w:val="005E6A0E"/>
    <w:rsid w:val="005F1CA1"/>
    <w:rsid w:val="005F3078"/>
    <w:rsid w:val="00622B25"/>
    <w:rsid w:val="00633924"/>
    <w:rsid w:val="00692AD1"/>
    <w:rsid w:val="006A3034"/>
    <w:rsid w:val="006D0985"/>
    <w:rsid w:val="006E77E8"/>
    <w:rsid w:val="007214D9"/>
    <w:rsid w:val="00783DB1"/>
    <w:rsid w:val="00796A31"/>
    <w:rsid w:val="007A2B16"/>
    <w:rsid w:val="007A68B9"/>
    <w:rsid w:val="007B7352"/>
    <w:rsid w:val="007D7C3C"/>
    <w:rsid w:val="007F1D6E"/>
    <w:rsid w:val="008141BE"/>
    <w:rsid w:val="00842B54"/>
    <w:rsid w:val="00894F62"/>
    <w:rsid w:val="008A17BB"/>
    <w:rsid w:val="00911B32"/>
    <w:rsid w:val="00930EF3"/>
    <w:rsid w:val="00934AD4"/>
    <w:rsid w:val="0095572E"/>
    <w:rsid w:val="0095704C"/>
    <w:rsid w:val="009621E3"/>
    <w:rsid w:val="009646EE"/>
    <w:rsid w:val="0097375E"/>
    <w:rsid w:val="009A0DDF"/>
    <w:rsid w:val="009C3F5E"/>
    <w:rsid w:val="009C7D17"/>
    <w:rsid w:val="00A23227"/>
    <w:rsid w:val="00A3343C"/>
    <w:rsid w:val="00A549F9"/>
    <w:rsid w:val="00A62606"/>
    <w:rsid w:val="00A92F5C"/>
    <w:rsid w:val="00AC5438"/>
    <w:rsid w:val="00AD0FF7"/>
    <w:rsid w:val="00B003E9"/>
    <w:rsid w:val="00B0232F"/>
    <w:rsid w:val="00B2006E"/>
    <w:rsid w:val="00B92F83"/>
    <w:rsid w:val="00B9365E"/>
    <w:rsid w:val="00BB5C28"/>
    <w:rsid w:val="00BD12A5"/>
    <w:rsid w:val="00BD5BD9"/>
    <w:rsid w:val="00BE3C02"/>
    <w:rsid w:val="00BF5AE5"/>
    <w:rsid w:val="00C00535"/>
    <w:rsid w:val="00C0096E"/>
    <w:rsid w:val="00C04C9D"/>
    <w:rsid w:val="00C10E52"/>
    <w:rsid w:val="00C45C20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F1224"/>
    <w:rsid w:val="00CF4064"/>
    <w:rsid w:val="00D031F2"/>
    <w:rsid w:val="00D131BB"/>
    <w:rsid w:val="00D14C4E"/>
    <w:rsid w:val="00D1578C"/>
    <w:rsid w:val="00D33F60"/>
    <w:rsid w:val="00D3434F"/>
    <w:rsid w:val="00D45A2A"/>
    <w:rsid w:val="00D54B59"/>
    <w:rsid w:val="00D57D64"/>
    <w:rsid w:val="00D62804"/>
    <w:rsid w:val="00D65E63"/>
    <w:rsid w:val="00D712C9"/>
    <w:rsid w:val="00DA39A2"/>
    <w:rsid w:val="00DD5E7C"/>
    <w:rsid w:val="00DD6A4A"/>
    <w:rsid w:val="00DF441C"/>
    <w:rsid w:val="00E03937"/>
    <w:rsid w:val="00E1204D"/>
    <w:rsid w:val="00E23B24"/>
    <w:rsid w:val="00E26725"/>
    <w:rsid w:val="00E45DC6"/>
    <w:rsid w:val="00E46907"/>
    <w:rsid w:val="00E472A0"/>
    <w:rsid w:val="00E50480"/>
    <w:rsid w:val="00E656DA"/>
    <w:rsid w:val="00E867D3"/>
    <w:rsid w:val="00EC2058"/>
    <w:rsid w:val="00ED29B2"/>
    <w:rsid w:val="00ED64F3"/>
    <w:rsid w:val="00EF6D82"/>
    <w:rsid w:val="00F01327"/>
    <w:rsid w:val="00F1242D"/>
    <w:rsid w:val="00F235D6"/>
    <w:rsid w:val="00F260C0"/>
    <w:rsid w:val="00F444D4"/>
    <w:rsid w:val="00F50CDF"/>
    <w:rsid w:val="00F8594E"/>
    <w:rsid w:val="00F87A71"/>
    <w:rsid w:val="00F9182A"/>
    <w:rsid w:val="00FD44F6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E46907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E46907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E46907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SombreamentoMdio1-nfase1">
    <w:name w:val="Medium Shading 1 Accent 1"/>
    <w:basedOn w:val="Tabelanormal"/>
    <w:uiPriority w:val="63"/>
    <w:rsid w:val="00894F62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99"/>
    <w:rsid w:val="00D57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997845b-4d24-481b-a5f9-1fc71bdf2a86"/>
    <ds:schemaRef ds:uri="dc1af24c-eede-4c4d-9326-29c03d31547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8BE07-672A-4E4F-B91F-714E5B39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28</cp:revision>
  <dcterms:created xsi:type="dcterms:W3CDTF">2022-11-24T12:49:00Z</dcterms:created>
  <dcterms:modified xsi:type="dcterms:W3CDTF">2024-11-29T13:41:00Z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