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Pr="00CE32FE" w:rsidRDefault="00BE3C02" w:rsidP="0077484A">
      <w:pPr>
        <w:spacing w:line="276" w:lineRule="auto"/>
        <w:jc w:val="left"/>
      </w:pPr>
      <w:r w:rsidRPr="004B42C3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2D5FE" w14:textId="5A831624" w:rsidR="00EE0DEC" w:rsidRPr="00205B68" w:rsidRDefault="00EE0DEC" w:rsidP="00A40735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PROFESSIONAL SERVICES DE COLABORAÇÃO</w:t>
                            </w:r>
                          </w:p>
                          <w:p w14:paraId="25EE4DE7" w14:textId="44BC654E" w:rsidR="00EE0DEC" w:rsidRPr="003F74D9" w:rsidRDefault="00EE0DEC" w:rsidP="00BE3C02">
                            <w:pPr>
                              <w:jc w:val="left"/>
                              <w:rPr>
                                <w:rFonts w:ascii="Roboto Medium" w:hAnsi="Roboto Medium"/>
                                <w:color w:val="0066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6482D5FE" w14:textId="5A831624" w:rsidR="00EE0DEC" w:rsidRPr="00205B68" w:rsidRDefault="00EE0DEC" w:rsidP="00A40735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PROFESSIONAL SERVICES DE COLABORAÇÃO</w:t>
                      </w:r>
                    </w:p>
                    <w:p w14:paraId="25EE4DE7" w14:textId="44BC654E" w:rsidR="00EE0DEC" w:rsidRPr="003F74D9" w:rsidRDefault="00EE0DEC" w:rsidP="00BE3C02">
                      <w:pPr>
                        <w:jc w:val="left"/>
                        <w:rPr>
                          <w:rFonts w:ascii="Roboto Medium" w:hAnsi="Roboto Medium"/>
                          <w:color w:val="0066F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CE32FE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207DE5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CE32FE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250D0C17" w14:textId="4B8FD23D" w:rsidR="005D15A6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E32FE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CE32FE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CE32FE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5D15A6">
            <w:rPr>
              <w:noProof/>
            </w:rPr>
            <w:t>1.</w:t>
          </w:r>
          <w:r w:rsidR="005D15A6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5D15A6">
            <w:rPr>
              <w:noProof/>
            </w:rPr>
            <w:t>Versão do Produto</w:t>
          </w:r>
          <w:r w:rsidR="005D15A6">
            <w:rPr>
              <w:noProof/>
            </w:rPr>
            <w:tab/>
          </w:r>
          <w:r w:rsidR="005D15A6">
            <w:rPr>
              <w:noProof/>
            </w:rPr>
            <w:fldChar w:fldCharType="begin"/>
          </w:r>
          <w:r w:rsidR="005D15A6">
            <w:rPr>
              <w:noProof/>
            </w:rPr>
            <w:instrText xml:space="preserve"> PAGEREF _Toc170327015 \h </w:instrText>
          </w:r>
          <w:r w:rsidR="005D15A6">
            <w:rPr>
              <w:noProof/>
            </w:rPr>
          </w:r>
          <w:r w:rsidR="005D15A6">
            <w:rPr>
              <w:noProof/>
            </w:rPr>
            <w:fldChar w:fldCharType="separate"/>
          </w:r>
          <w:r w:rsidR="005D15A6">
            <w:rPr>
              <w:noProof/>
            </w:rPr>
            <w:t>3</w:t>
          </w:r>
          <w:r w:rsidR="005D15A6">
            <w:rPr>
              <w:noProof/>
            </w:rPr>
            <w:fldChar w:fldCharType="end"/>
          </w:r>
        </w:p>
        <w:p w14:paraId="00958941" w14:textId="05355430" w:rsidR="005D15A6" w:rsidRDefault="005D15A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3BF2D40" w14:textId="5C44C96B" w:rsidR="005D15A6" w:rsidRDefault="005D15A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837B14A" w14:textId="53B699E0" w:rsidR="005D15A6" w:rsidRDefault="005D15A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B993C54" w14:textId="4EDDD55F" w:rsidR="005D15A6" w:rsidRDefault="005D15A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0AC584D" w14:textId="2F5E230F" w:rsidR="005D15A6" w:rsidRDefault="005D15A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EC4707F" w14:textId="30B0FC81" w:rsidR="005D15A6" w:rsidRDefault="005D15A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Migração de E-mail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11C689D" w14:textId="0C636EB1" w:rsidR="005D15A6" w:rsidRDefault="005D15A6">
          <w:pPr>
            <w:pStyle w:val="Sumrio3"/>
            <w:tabs>
              <w:tab w:val="left" w:pos="1200"/>
              <w:tab w:val="right" w:leader="dot" w:pos="10070"/>
            </w:tabs>
            <w:rPr>
              <w:i w:val="0"/>
              <w:iCs w:val="0"/>
              <w:noProof/>
              <w:sz w:val="22"/>
              <w:szCs w:val="22"/>
              <w:lang w:eastAsia="pt-BR"/>
            </w:rPr>
          </w:pPr>
          <w:r w:rsidRPr="006F650F">
            <w:rPr>
              <w:rFonts w:cs="Calibri"/>
              <w:noProof/>
            </w:rPr>
            <w:t>5.1.1.</w:t>
          </w:r>
          <w:r>
            <w:rPr>
              <w:i w:val="0"/>
              <w:iC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Migração Exchange Server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9E63CE1" w14:textId="7C37FE93" w:rsidR="005D15A6" w:rsidRDefault="005D15A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Instalação e Configuração do Ambiente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0BA68AB" w14:textId="5F50A2BF" w:rsidR="005D15A6" w:rsidRDefault="005D15A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Administração do Ambiente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A4E354C" w14:textId="452781E2" w:rsidR="005D15A6" w:rsidRDefault="005D15A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55F81E5" w14:textId="094B4265" w:rsidR="005D15A6" w:rsidRDefault="005D15A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6F650F">
            <w:rPr>
              <w:rFonts w:eastAsiaTheme="minorHAnsi"/>
              <w:noProof/>
              <w:lang w:eastAsia="en-US"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C070D80" w14:textId="62369D12" w:rsidR="005D15A6" w:rsidRDefault="005D15A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59DC324" w14:textId="00727B2E" w:rsidR="005D15A6" w:rsidRDefault="005D15A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 – Licenciamento de Software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053F52D" w14:textId="3775F8AE" w:rsidR="005D15A6" w:rsidRDefault="005D15A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 - Migração de E-mail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1FF18290" w14:textId="15A6C004" w:rsidR="005D15A6" w:rsidRDefault="005D15A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 – Instalação e Configuração do Ambiente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F2A7F2B" w14:textId="56640B65" w:rsidR="005D15A6" w:rsidRDefault="005D15A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8.4.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 – Administração do Ambiente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C5D5894" w14:textId="199E25D2" w:rsidR="005D15A6" w:rsidRDefault="005D15A6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8.5.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 – Suporte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541C1C4D" w14:textId="30D469CD" w:rsidR="005D15A6" w:rsidRDefault="005D15A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5769D99" w14:textId="4797B066" w:rsidR="005D15A6" w:rsidRDefault="005D15A6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_Toc170327034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3F66F386" w14:textId="66033B76" w:rsidR="004349AA" w:rsidRPr="00CE32FE" w:rsidRDefault="004349AA" w:rsidP="0077484A">
          <w:pPr>
            <w:spacing w:line="276" w:lineRule="auto"/>
            <w:rPr>
              <w:rFonts w:cs="Arial"/>
            </w:rPr>
          </w:pPr>
          <w:r w:rsidRPr="00CE32FE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Pr="00CE32FE" w:rsidRDefault="004349AA" w:rsidP="0077484A">
      <w:pPr>
        <w:spacing w:line="276" w:lineRule="auto"/>
        <w:rPr>
          <w:color w:val="00A2DB"/>
          <w:sz w:val="52"/>
        </w:rPr>
      </w:pPr>
      <w:r w:rsidRPr="00CE32FE">
        <w:br w:type="page"/>
      </w:r>
    </w:p>
    <w:p w14:paraId="52233F83" w14:textId="77777777" w:rsidR="005D15A6" w:rsidRPr="001E7E16" w:rsidRDefault="005D15A6" w:rsidP="005D15A6">
      <w:pPr>
        <w:pStyle w:val="Titulo1"/>
      </w:pPr>
      <w:bookmarkStart w:id="0" w:name="_Toc170309940"/>
      <w:bookmarkStart w:id="1" w:name="_Toc170327015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5D15A6" w:rsidRPr="00862F10" w14:paraId="5B4A2D18" w14:textId="77777777" w:rsidTr="003B33F6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2D4867CC" w14:textId="77777777" w:rsidR="005D15A6" w:rsidRPr="00862F10" w:rsidRDefault="005D15A6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4DC2C377" w14:textId="77777777" w:rsidR="005D15A6" w:rsidRDefault="005D15A6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43D19B93" w14:textId="77777777" w:rsidR="005D15A6" w:rsidRPr="00862F10" w:rsidRDefault="005D15A6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5D15A6" w:rsidRPr="00862F10" w14:paraId="61AB4DD1" w14:textId="77777777" w:rsidTr="003B33F6">
        <w:trPr>
          <w:trHeight w:val="332"/>
          <w:jc w:val="center"/>
        </w:trPr>
        <w:tc>
          <w:tcPr>
            <w:tcW w:w="2962" w:type="dxa"/>
            <w:vAlign w:val="center"/>
          </w:tcPr>
          <w:p w14:paraId="47B0D1A0" w14:textId="77777777" w:rsidR="005D15A6" w:rsidRPr="00862F10" w:rsidRDefault="005D15A6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6566D425" w14:textId="77777777" w:rsidR="005D15A6" w:rsidRPr="00862F10" w:rsidRDefault="005D15A6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34E5744C" w14:textId="77777777" w:rsidR="005D15A6" w:rsidRPr="00862F10" w:rsidRDefault="005D15A6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4615B67D" w:rsidR="00BE3C02" w:rsidRPr="00194001" w:rsidRDefault="00D62804" w:rsidP="00A40735">
      <w:pPr>
        <w:pStyle w:val="Titulo1"/>
      </w:pPr>
      <w:bookmarkStart w:id="2" w:name="_Toc170327016"/>
      <w:r w:rsidRPr="00CE32FE">
        <w:t>Descrição Resumida</w:t>
      </w:r>
      <w:bookmarkEnd w:id="2"/>
    </w:p>
    <w:p w14:paraId="5D512581" w14:textId="74755267" w:rsidR="00FE5C74" w:rsidRPr="00207DE5" w:rsidRDefault="00FE5C74" w:rsidP="00A40735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O </w:t>
      </w:r>
      <w:r w:rsidR="00A40735" w:rsidRPr="00207DE5">
        <w:rPr>
          <w:rFonts w:ascii="Calibri" w:eastAsiaTheme="minorHAnsi" w:hAnsi="Calibri"/>
          <w:sz w:val="22"/>
          <w:szCs w:val="22"/>
          <w:lang w:eastAsia="en-US"/>
        </w:rPr>
        <w:t>Professional Services</w:t>
      </w:r>
      <w:r w:rsidR="00107C44" w:rsidRPr="00207DE5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9E6E93" w:rsidRPr="00207DE5">
        <w:rPr>
          <w:rFonts w:ascii="Calibri" w:eastAsiaTheme="minorHAnsi" w:hAnsi="Calibri"/>
          <w:sz w:val="22"/>
          <w:szCs w:val="22"/>
          <w:lang w:eastAsia="en-US"/>
        </w:rPr>
        <w:t>de</w:t>
      </w:r>
      <w:r w:rsidR="00811E3B" w:rsidRPr="00207DE5">
        <w:rPr>
          <w:rFonts w:ascii="Calibri" w:eastAsiaTheme="minorHAnsi" w:hAnsi="Calibri"/>
          <w:sz w:val="22"/>
          <w:szCs w:val="22"/>
          <w:lang w:eastAsia="en-US"/>
        </w:rPr>
        <w:t xml:space="preserve"> Colaboração </w:t>
      </w:r>
      <w:r w:rsidR="00A40735" w:rsidRPr="00207DE5">
        <w:rPr>
          <w:rFonts w:ascii="Calibri" w:eastAsiaTheme="minorHAnsi" w:hAnsi="Calibri"/>
          <w:sz w:val="22"/>
          <w:szCs w:val="22"/>
          <w:lang w:eastAsia="en-US"/>
        </w:rPr>
        <w:t xml:space="preserve">é uma solução </w:t>
      </w:r>
      <w:r w:rsidR="00A40735" w:rsidRPr="00207DE5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que oferece serviço </w:t>
      </w:r>
      <w:r w:rsidR="00820BEC" w:rsidRPr="00A8785F">
        <w:rPr>
          <w:rFonts w:ascii="Calibri" w:eastAsiaTheme="minorHAnsi" w:hAnsi="Calibri"/>
          <w:sz w:val="22"/>
          <w:szCs w:val="22"/>
          <w:lang w:eastAsia="en-US"/>
        </w:rPr>
        <w:t xml:space="preserve">de gestão de soluções de 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>colaboração empresarial</w:t>
      </w:r>
      <w:r w:rsidR="00A42F58">
        <w:rPr>
          <w:rFonts w:ascii="Calibri" w:eastAsiaTheme="minorHAnsi" w:hAnsi="Calibri"/>
          <w:sz w:val="22"/>
          <w:szCs w:val="22"/>
          <w:lang w:eastAsia="en-US"/>
        </w:rPr>
        <w:t xml:space="preserve"> e </w:t>
      </w:r>
      <w:r w:rsidR="00A42F58" w:rsidRPr="00792E6B">
        <w:rPr>
          <w:rFonts w:ascii="Calibri" w:eastAsiaTheme="minorHAnsi" w:hAnsi="Calibri"/>
          <w:sz w:val="22"/>
          <w:szCs w:val="22"/>
          <w:lang w:eastAsia="en-US"/>
        </w:rPr>
        <w:t xml:space="preserve">de </w:t>
      </w:r>
      <w:r w:rsidR="00A42F58">
        <w:rPr>
          <w:rFonts w:ascii="Calibri" w:eastAsiaTheme="minorHAnsi" w:hAnsi="Calibri"/>
          <w:sz w:val="22"/>
          <w:szCs w:val="22"/>
          <w:lang w:eastAsia="en-US"/>
        </w:rPr>
        <w:t xml:space="preserve">e-mail, 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que inclui a administração </w:t>
      </w:r>
      <w:r w:rsidR="00E759DA">
        <w:rPr>
          <w:rFonts w:ascii="Calibri" w:eastAsiaTheme="minorHAnsi" w:hAnsi="Calibri"/>
          <w:sz w:val="22"/>
          <w:szCs w:val="22"/>
          <w:lang w:eastAsia="en-US"/>
        </w:rPr>
        <w:t>por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profissionais capacitados e certificados, </w:t>
      </w:r>
      <w:r w:rsidRPr="00EE0DEC">
        <w:rPr>
          <w:rFonts w:ascii="Calibri" w:eastAsiaTheme="minorHAnsi" w:hAnsi="Calibri"/>
          <w:sz w:val="22"/>
          <w:szCs w:val="22"/>
          <w:lang w:eastAsia="en-US"/>
        </w:rPr>
        <w:t>migração transparente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de contas resguardando a continuidade operacional</w:t>
      </w:r>
      <w:r w:rsidR="007F533E">
        <w:rPr>
          <w:rFonts w:ascii="Calibri" w:eastAsiaTheme="minorHAnsi" w:hAnsi="Calibri"/>
          <w:sz w:val="22"/>
          <w:szCs w:val="22"/>
          <w:lang w:eastAsia="en-US"/>
        </w:rPr>
        <w:t xml:space="preserve"> e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suporte direto, ágil e local, permitindo que</w:t>
      </w:r>
      <w:r w:rsidR="00A40735" w:rsidRPr="00207DE5">
        <w:rPr>
          <w:rFonts w:ascii="Calibri" w:eastAsiaTheme="minorHAnsi" w:hAnsi="Calibri"/>
          <w:sz w:val="22"/>
          <w:szCs w:val="22"/>
          <w:lang w:eastAsia="en-US"/>
        </w:rPr>
        <w:t xml:space="preserve"> o </w:t>
      </w:r>
      <w:r w:rsidR="00A40735" w:rsidRPr="00207DE5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A40735" w:rsidRPr="00207DE5">
        <w:rPr>
          <w:rFonts w:ascii="Calibri" w:eastAsiaTheme="minorHAnsi" w:hAnsi="Calibri"/>
          <w:sz w:val="22"/>
          <w:szCs w:val="22"/>
          <w:lang w:eastAsia="en-US"/>
        </w:rPr>
        <w:t xml:space="preserve"> foque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em agregar valor ao</w:t>
      </w:r>
      <w:r w:rsidR="00E759DA">
        <w:rPr>
          <w:rFonts w:ascii="Calibri" w:eastAsiaTheme="minorHAnsi" w:hAnsi="Calibri"/>
          <w:sz w:val="22"/>
          <w:szCs w:val="22"/>
          <w:lang w:eastAsia="en-US"/>
        </w:rPr>
        <w:t xml:space="preserve"> seu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negócio</w:t>
      </w:r>
      <w:r w:rsidR="00A40735" w:rsidRPr="00207DE5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39C9EBCC" w14:textId="1E605F06" w:rsidR="00D62804" w:rsidRPr="00CE32FE" w:rsidRDefault="00C04071" w:rsidP="00A40735">
      <w:pPr>
        <w:pStyle w:val="Titulo1"/>
      </w:pPr>
      <w:bookmarkStart w:id="3" w:name="_Toc153297223"/>
      <w:bookmarkStart w:id="4" w:name="_Toc153297224"/>
      <w:bookmarkStart w:id="5" w:name="_Toc153297225"/>
      <w:bookmarkStart w:id="6" w:name="_Toc170327017"/>
      <w:bookmarkStart w:id="7" w:name="_Toc99973652"/>
      <w:bookmarkEnd w:id="3"/>
      <w:bookmarkEnd w:id="4"/>
      <w:bookmarkEnd w:id="5"/>
      <w:r w:rsidRPr="00CE32FE">
        <w:t>Objetivo</w:t>
      </w:r>
      <w:bookmarkEnd w:id="6"/>
    </w:p>
    <w:p w14:paraId="03AEB263" w14:textId="77777777" w:rsidR="00FE5C74" w:rsidRPr="00207DE5" w:rsidRDefault="00FE5C74" w:rsidP="00A40735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207DE5">
        <w:rPr>
          <w:rFonts w:ascii="Calibri" w:eastAsiaTheme="minorHAnsi" w:hAnsi="Calibri" w:cs="Calibri"/>
          <w:sz w:val="22"/>
          <w:szCs w:val="22"/>
          <w:lang w:eastAsia="en-US"/>
        </w:rPr>
        <w:t>O serviço tem como objetivos:</w:t>
      </w:r>
    </w:p>
    <w:p w14:paraId="00DA2605" w14:textId="436EB173" w:rsidR="0050147E" w:rsidRPr="00822037" w:rsidRDefault="00FE5C74" w:rsidP="00207DE5">
      <w:pPr>
        <w:pStyle w:val="PargrafodaLista"/>
        <w:numPr>
          <w:ilvl w:val="0"/>
          <w:numId w:val="8"/>
        </w:numPr>
        <w:rPr>
          <w:rFonts w:ascii="Calibri" w:eastAsiaTheme="minorHAnsi" w:hAnsi="Calibri" w:cs="Calibri"/>
          <w:sz w:val="22"/>
          <w:szCs w:val="22"/>
          <w:lang w:eastAsia="en-US"/>
        </w:rPr>
      </w:pPr>
      <w:r w:rsidRPr="00207DE5">
        <w:rPr>
          <w:rFonts w:ascii="Calibri" w:eastAsiaTheme="minorHAnsi" w:hAnsi="Calibri" w:cs="Calibri"/>
          <w:sz w:val="22"/>
          <w:szCs w:val="22"/>
          <w:lang w:eastAsia="en-US"/>
        </w:rPr>
        <w:t>Gestão do</w:t>
      </w:r>
      <w:r w:rsidR="00A40735" w:rsidRPr="00207DE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695D6E" w:rsidRPr="00207DE5">
        <w:rPr>
          <w:rFonts w:ascii="Calibri" w:eastAsiaTheme="minorHAnsi" w:hAnsi="Calibri" w:cs="Calibri"/>
          <w:sz w:val="22"/>
          <w:szCs w:val="22"/>
          <w:lang w:eastAsia="en-US"/>
        </w:rPr>
        <w:t xml:space="preserve">Microsoft </w:t>
      </w:r>
      <w:r w:rsidR="00A40735" w:rsidRPr="00207DE5">
        <w:rPr>
          <w:rFonts w:ascii="Calibri" w:eastAsiaTheme="minorHAnsi" w:hAnsi="Calibri" w:cs="Calibri"/>
          <w:sz w:val="22"/>
          <w:szCs w:val="22"/>
          <w:lang w:eastAsia="en-US"/>
        </w:rPr>
        <w:t>365</w:t>
      </w:r>
      <w:r w:rsidR="008B1107" w:rsidRPr="00822037">
        <w:rPr>
          <w:rFonts w:ascii="Calibri" w:eastAsiaTheme="minorHAnsi" w:hAnsi="Calibri" w:cs="Calibri"/>
          <w:sz w:val="22"/>
          <w:szCs w:val="22"/>
          <w:lang w:eastAsia="en-US"/>
        </w:rPr>
        <w:t xml:space="preserve"> e</w:t>
      </w:r>
      <w:r w:rsidR="00695D6E" w:rsidRPr="00207DE5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FF5618" w:rsidRPr="00207DE5">
        <w:rPr>
          <w:rFonts w:ascii="Calibri" w:hAnsi="Calibri" w:cs="Calibri"/>
          <w:sz w:val="22"/>
          <w:szCs w:val="22"/>
          <w:shd w:val="clear" w:color="auto" w:fill="FFFFFF"/>
        </w:rPr>
        <w:t xml:space="preserve">Google </w:t>
      </w:r>
      <w:proofErr w:type="spellStart"/>
      <w:r w:rsidR="00FF5618" w:rsidRPr="00207DE5">
        <w:rPr>
          <w:rFonts w:ascii="Calibri" w:hAnsi="Calibri" w:cs="Calibri"/>
          <w:sz w:val="22"/>
          <w:szCs w:val="22"/>
          <w:shd w:val="clear" w:color="auto" w:fill="FFFFFF"/>
        </w:rPr>
        <w:t>Workspace</w:t>
      </w:r>
      <w:proofErr w:type="spellEnd"/>
      <w:r w:rsidR="009E6E93" w:rsidRPr="00207DE5">
        <w:rPr>
          <w:rFonts w:ascii="Calibri" w:eastAsiaTheme="minorHAnsi" w:hAnsi="Calibri" w:cs="Calibri"/>
          <w:sz w:val="22"/>
          <w:szCs w:val="22"/>
          <w:lang w:eastAsia="en-US"/>
        </w:rPr>
        <w:t>, entre outros provedores</w:t>
      </w:r>
      <w:r w:rsidR="00023783">
        <w:rPr>
          <w:rFonts w:ascii="Calibri" w:eastAsiaTheme="minorHAnsi" w:hAnsi="Calibri" w:cs="Calibri"/>
          <w:sz w:val="22"/>
          <w:szCs w:val="22"/>
          <w:lang w:eastAsia="en-US"/>
        </w:rPr>
        <w:t>;</w:t>
      </w:r>
      <w:r w:rsidR="00A42F58" w:rsidRPr="00822037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8B1107" w:rsidRPr="00822037">
        <w:rPr>
          <w:rFonts w:ascii="Calibri" w:eastAsiaTheme="minorHAnsi" w:hAnsi="Calibri" w:cs="Calibri"/>
          <w:sz w:val="22"/>
          <w:szCs w:val="22"/>
          <w:lang w:eastAsia="en-US"/>
        </w:rPr>
        <w:t>(</w:t>
      </w:r>
      <w:r w:rsidR="00A42F58" w:rsidRPr="00822037">
        <w:rPr>
          <w:rFonts w:ascii="Calibri" w:eastAsiaTheme="minorHAnsi" w:hAnsi="Calibri" w:cs="Calibri"/>
          <w:sz w:val="22"/>
          <w:szCs w:val="22"/>
          <w:lang w:eastAsia="en-US"/>
        </w:rPr>
        <w:t>Para outros provedores, necessário estudo de viabilidade)</w:t>
      </w:r>
    </w:p>
    <w:p w14:paraId="0E8062C3" w14:textId="0CFD74C2" w:rsidR="00CC5F7A" w:rsidRPr="00207DE5" w:rsidRDefault="0050147E" w:rsidP="00207DE5">
      <w:pPr>
        <w:pStyle w:val="PargrafodaLista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pt-BR"/>
        </w:rPr>
      </w:pPr>
      <w:r w:rsidRPr="00207DE5">
        <w:rPr>
          <w:rFonts w:ascii="Calibri" w:hAnsi="Calibri" w:cs="Calibri"/>
          <w:sz w:val="22"/>
          <w:szCs w:val="22"/>
          <w:lang w:eastAsia="pt-BR"/>
        </w:rPr>
        <w:t>Realizar</w:t>
      </w:r>
      <w:r w:rsidR="00A42F58" w:rsidRPr="00207DE5">
        <w:rPr>
          <w:rFonts w:ascii="Calibri" w:hAnsi="Calibri" w:cs="Calibri"/>
          <w:sz w:val="22"/>
          <w:szCs w:val="22"/>
          <w:lang w:eastAsia="pt-BR"/>
        </w:rPr>
        <w:t xml:space="preserve"> </w:t>
      </w:r>
      <w:r w:rsidR="00A42F58" w:rsidRPr="00207DE5">
        <w:rPr>
          <w:rFonts w:ascii="Calibri" w:hAnsi="Calibri" w:cs="Calibri"/>
          <w:sz w:val="22"/>
          <w:szCs w:val="22"/>
        </w:rPr>
        <w:t>uma compreensão abrangente d</w:t>
      </w:r>
      <w:r w:rsidR="002840D2" w:rsidRPr="00207DE5">
        <w:rPr>
          <w:rFonts w:ascii="Calibri" w:hAnsi="Calibri" w:cs="Calibri"/>
          <w:sz w:val="22"/>
          <w:szCs w:val="22"/>
        </w:rPr>
        <w:t>as necessidade</w:t>
      </w:r>
      <w:r w:rsidR="00A162CD">
        <w:rPr>
          <w:rFonts w:ascii="Calibri" w:hAnsi="Calibri" w:cs="Calibri"/>
          <w:sz w:val="22"/>
          <w:szCs w:val="22"/>
        </w:rPr>
        <w:t>s</w:t>
      </w:r>
      <w:r w:rsidR="002840D2" w:rsidRPr="00207DE5">
        <w:rPr>
          <w:rFonts w:ascii="Calibri" w:hAnsi="Calibri" w:cs="Calibri"/>
          <w:sz w:val="22"/>
          <w:szCs w:val="22"/>
        </w:rPr>
        <w:t xml:space="preserve"> e d</w:t>
      </w:r>
      <w:r w:rsidR="00A42F58" w:rsidRPr="00207DE5">
        <w:rPr>
          <w:rFonts w:ascii="Calibri" w:hAnsi="Calibri" w:cs="Calibri"/>
          <w:sz w:val="22"/>
          <w:szCs w:val="22"/>
        </w:rPr>
        <w:t>os requisitos do</w:t>
      </w:r>
      <w:r w:rsidR="0000262F">
        <w:rPr>
          <w:rFonts w:ascii="Calibri" w:hAnsi="Calibri" w:cs="Calibri"/>
          <w:sz w:val="22"/>
          <w:szCs w:val="22"/>
        </w:rPr>
        <w:t>s</w:t>
      </w:r>
      <w:r w:rsidR="00A42F58" w:rsidRPr="00207DE5">
        <w:rPr>
          <w:rFonts w:ascii="Calibri" w:hAnsi="Calibri" w:cs="Calibri"/>
          <w:sz w:val="22"/>
          <w:szCs w:val="22"/>
        </w:rPr>
        <w:t xml:space="preserve"> </w:t>
      </w:r>
      <w:r w:rsidR="002840D2" w:rsidRPr="00207DE5">
        <w:rPr>
          <w:rFonts w:ascii="Calibri" w:hAnsi="Calibri" w:cs="Calibri"/>
          <w:b/>
          <w:sz w:val="22"/>
          <w:szCs w:val="22"/>
        </w:rPr>
        <w:t>CLIENTE</w:t>
      </w:r>
      <w:r w:rsidR="0000262F">
        <w:rPr>
          <w:rFonts w:ascii="Calibri" w:hAnsi="Calibri" w:cs="Calibri"/>
          <w:b/>
          <w:sz w:val="22"/>
          <w:szCs w:val="22"/>
        </w:rPr>
        <w:t>S</w:t>
      </w:r>
      <w:r w:rsidR="00A42F58" w:rsidRPr="00207DE5">
        <w:rPr>
          <w:rFonts w:ascii="Calibri" w:hAnsi="Calibri" w:cs="Calibri"/>
          <w:b/>
          <w:sz w:val="22"/>
          <w:szCs w:val="22"/>
        </w:rPr>
        <w:t xml:space="preserve"> </w:t>
      </w:r>
      <w:r w:rsidR="00A42F58" w:rsidRPr="00207DE5">
        <w:rPr>
          <w:rFonts w:ascii="Calibri" w:hAnsi="Calibri" w:cs="Calibri"/>
          <w:sz w:val="22"/>
          <w:szCs w:val="22"/>
        </w:rPr>
        <w:t>para</w:t>
      </w:r>
      <w:r w:rsidRPr="00207DE5">
        <w:rPr>
          <w:rFonts w:ascii="Calibri" w:hAnsi="Calibri" w:cs="Calibri"/>
          <w:sz w:val="22"/>
          <w:szCs w:val="22"/>
        </w:rPr>
        <w:t xml:space="preserve"> </w:t>
      </w:r>
      <w:r w:rsidR="00A42F58" w:rsidRPr="00207DE5">
        <w:rPr>
          <w:rFonts w:ascii="Calibri" w:hAnsi="Calibri" w:cs="Calibri"/>
          <w:sz w:val="22"/>
          <w:szCs w:val="22"/>
        </w:rPr>
        <w:t xml:space="preserve">a </w:t>
      </w:r>
      <w:r w:rsidRPr="00207DE5">
        <w:rPr>
          <w:rFonts w:ascii="Calibri" w:hAnsi="Calibri" w:cs="Calibri"/>
          <w:sz w:val="22"/>
          <w:szCs w:val="22"/>
        </w:rPr>
        <w:t>gestão</w:t>
      </w:r>
      <w:r w:rsidR="002840D2" w:rsidRPr="00207DE5">
        <w:rPr>
          <w:rFonts w:ascii="Calibri" w:hAnsi="Calibri" w:cs="Calibri"/>
          <w:sz w:val="22"/>
          <w:szCs w:val="22"/>
        </w:rPr>
        <w:t xml:space="preserve"> das ferramentas e </w:t>
      </w:r>
      <w:r w:rsidRPr="00207DE5">
        <w:rPr>
          <w:rFonts w:ascii="Calibri" w:hAnsi="Calibri" w:cs="Calibri"/>
          <w:sz w:val="22"/>
          <w:szCs w:val="22"/>
        </w:rPr>
        <w:t xml:space="preserve">a </w:t>
      </w:r>
      <w:r w:rsidR="00A42F58" w:rsidRPr="00207DE5">
        <w:rPr>
          <w:rFonts w:ascii="Calibri" w:hAnsi="Calibri" w:cs="Calibri"/>
          <w:sz w:val="22"/>
          <w:szCs w:val="22"/>
        </w:rPr>
        <w:t>migração de e-mails</w:t>
      </w:r>
      <w:r w:rsidR="004D40FD" w:rsidRPr="00207DE5">
        <w:rPr>
          <w:rFonts w:ascii="Calibri" w:hAnsi="Calibri" w:cs="Calibri"/>
          <w:sz w:val="22"/>
          <w:szCs w:val="22"/>
        </w:rPr>
        <w:t xml:space="preserve">, </w:t>
      </w:r>
      <w:r w:rsidR="00023783">
        <w:rPr>
          <w:rFonts w:ascii="Calibri" w:hAnsi="Calibri" w:cs="Calibri"/>
          <w:sz w:val="22"/>
          <w:szCs w:val="22"/>
        </w:rPr>
        <w:t>minimizando</w:t>
      </w:r>
      <w:r w:rsidRPr="00822037">
        <w:rPr>
          <w:rFonts w:ascii="Calibri" w:eastAsiaTheme="minorHAnsi" w:hAnsi="Calibri" w:cs="Calibri"/>
          <w:sz w:val="22"/>
          <w:szCs w:val="22"/>
          <w:lang w:eastAsia="en-US"/>
        </w:rPr>
        <w:t xml:space="preserve"> impactos nos usuários e no ambiente de </w:t>
      </w:r>
      <w:r w:rsidRPr="00207DE5">
        <w:rPr>
          <w:rFonts w:ascii="Calibri" w:hAnsi="Calibri" w:cs="Calibri"/>
          <w:sz w:val="22"/>
          <w:szCs w:val="22"/>
          <w:lang w:eastAsia="pt-BR"/>
        </w:rPr>
        <w:t>trabalho, reduzindo os períodos</w:t>
      </w:r>
      <w:r w:rsidR="007F533E" w:rsidRPr="00207DE5">
        <w:rPr>
          <w:rFonts w:ascii="Calibri" w:hAnsi="Calibri" w:cs="Calibri"/>
          <w:sz w:val="22"/>
          <w:szCs w:val="22"/>
          <w:lang w:eastAsia="pt-BR"/>
        </w:rPr>
        <w:t xml:space="preserve"> de inatividade e interrupções d</w:t>
      </w:r>
      <w:r w:rsidRPr="00207DE5">
        <w:rPr>
          <w:rFonts w:ascii="Calibri" w:hAnsi="Calibri" w:cs="Calibri"/>
          <w:sz w:val="22"/>
          <w:szCs w:val="22"/>
          <w:lang w:eastAsia="pt-BR"/>
        </w:rPr>
        <w:t>os serviços</w:t>
      </w:r>
      <w:r w:rsidR="00F37730" w:rsidRPr="00207DE5">
        <w:rPr>
          <w:rFonts w:ascii="Calibri" w:hAnsi="Calibri" w:cs="Calibri"/>
          <w:sz w:val="22"/>
          <w:szCs w:val="22"/>
          <w:lang w:eastAsia="pt-BR"/>
        </w:rPr>
        <w:t>;</w:t>
      </w:r>
    </w:p>
    <w:p w14:paraId="1F1ECABB" w14:textId="77777777" w:rsidR="00CC5F7A" w:rsidRPr="00207DE5" w:rsidRDefault="0050147E" w:rsidP="00207DE5">
      <w:pPr>
        <w:pStyle w:val="PargrafodaLista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pt-BR"/>
        </w:rPr>
      </w:pPr>
      <w:r w:rsidRPr="00207DE5">
        <w:rPr>
          <w:rFonts w:ascii="Calibri" w:hAnsi="Calibri" w:cs="Calibri"/>
          <w:sz w:val="22"/>
          <w:szCs w:val="22"/>
          <w:lang w:eastAsia="pt-BR"/>
        </w:rPr>
        <w:t>Assegurar que todos os dados, incluindo e-mails, contatos, calendários e outras informações relevantes, sejam transferidos de forma precisa, íntegra e sem perdas durante o processo de migração;</w:t>
      </w:r>
    </w:p>
    <w:p w14:paraId="3F61541C" w14:textId="4742587F" w:rsidR="004D40FD" w:rsidRPr="00207DE5" w:rsidRDefault="00A42F58">
      <w:pPr>
        <w:pStyle w:val="PargrafodaLista"/>
        <w:numPr>
          <w:ilvl w:val="0"/>
          <w:numId w:val="8"/>
        </w:numPr>
        <w:rPr>
          <w:rFonts w:ascii="Calibri" w:hAnsi="Calibri" w:cs="Calibri"/>
          <w:sz w:val="22"/>
          <w:szCs w:val="22"/>
          <w:lang w:eastAsia="pt-BR"/>
        </w:rPr>
      </w:pPr>
      <w:r w:rsidRPr="00822037">
        <w:rPr>
          <w:rFonts w:ascii="Calibri" w:eastAsiaTheme="minorHAnsi" w:hAnsi="Calibri" w:cs="Calibri"/>
          <w:sz w:val="22"/>
          <w:szCs w:val="22"/>
          <w:lang w:eastAsia="en-US"/>
        </w:rPr>
        <w:t xml:space="preserve">Satisfazer os requisitos de negócios do </w:t>
      </w:r>
      <w:r w:rsidRPr="00822037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CLIENTE </w:t>
      </w:r>
      <w:r w:rsidRPr="00822037">
        <w:rPr>
          <w:rFonts w:ascii="Calibri" w:eastAsiaTheme="minorHAnsi" w:hAnsi="Calibri" w:cs="Calibri"/>
          <w:sz w:val="22"/>
          <w:szCs w:val="22"/>
          <w:lang w:eastAsia="en-US"/>
        </w:rPr>
        <w:t>através de serviços disponíveis, confiáveis, escaláveis e seguro</w:t>
      </w:r>
      <w:r w:rsidR="004D40FD" w:rsidRPr="00207DE5">
        <w:rPr>
          <w:rFonts w:ascii="Calibri" w:hAnsi="Calibri" w:cs="Calibri"/>
          <w:sz w:val="22"/>
          <w:szCs w:val="22"/>
          <w:lang w:eastAsia="pt-BR"/>
        </w:rPr>
        <w:t xml:space="preserve">s, além de suporte técnico para </w:t>
      </w:r>
      <w:r w:rsidR="004D40FD" w:rsidRPr="00822037">
        <w:rPr>
          <w:rFonts w:ascii="Calibri" w:eastAsiaTheme="minorHAnsi" w:hAnsi="Calibri" w:cs="Calibri"/>
          <w:sz w:val="22"/>
          <w:szCs w:val="22"/>
          <w:lang w:eastAsia="en-US"/>
        </w:rPr>
        <w:t>r</w:t>
      </w:r>
      <w:r w:rsidR="004D40FD" w:rsidRPr="00207DE5">
        <w:rPr>
          <w:rFonts w:ascii="Calibri" w:hAnsi="Calibri" w:cs="Calibri"/>
          <w:sz w:val="22"/>
          <w:szCs w:val="22"/>
          <w:lang w:eastAsia="pt-BR"/>
        </w:rPr>
        <w:t>esolver os problemas que possam surgir nas operações diárias ou</w:t>
      </w:r>
      <w:r w:rsidR="00A162CD">
        <w:rPr>
          <w:rFonts w:ascii="Calibri" w:hAnsi="Calibri" w:cs="Calibri"/>
          <w:sz w:val="22"/>
          <w:szCs w:val="22"/>
          <w:lang w:eastAsia="pt-BR"/>
        </w:rPr>
        <w:t xml:space="preserve"> na</w:t>
      </w:r>
      <w:r w:rsidR="004D40FD" w:rsidRPr="00207DE5">
        <w:rPr>
          <w:rFonts w:ascii="Calibri" w:hAnsi="Calibri" w:cs="Calibri"/>
          <w:sz w:val="22"/>
          <w:szCs w:val="22"/>
          <w:lang w:eastAsia="pt-BR"/>
        </w:rPr>
        <w:t xml:space="preserve"> migração de e-mails; </w:t>
      </w:r>
    </w:p>
    <w:p w14:paraId="158D4FBE" w14:textId="77777777" w:rsidR="00A42F58" w:rsidRPr="00822037" w:rsidRDefault="00A42F58" w:rsidP="00A42F5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22037">
        <w:rPr>
          <w:rFonts w:ascii="Calibri" w:eastAsiaTheme="minorHAnsi" w:hAnsi="Calibri" w:cs="Calibri"/>
          <w:sz w:val="22"/>
          <w:szCs w:val="22"/>
          <w:lang w:eastAsia="en-US"/>
        </w:rPr>
        <w:t>Tornar a colaboração mais automatizada e otimizada;</w:t>
      </w:r>
    </w:p>
    <w:p w14:paraId="6AE9D9E4" w14:textId="210D6AC5" w:rsidR="00C83445" w:rsidRPr="00CE32FE" w:rsidRDefault="00C04071" w:rsidP="00A40735">
      <w:pPr>
        <w:pStyle w:val="Titulo1"/>
      </w:pPr>
      <w:bookmarkStart w:id="8" w:name="_Toc153297228"/>
      <w:bookmarkStart w:id="9" w:name="_Toc170327018"/>
      <w:bookmarkEnd w:id="8"/>
      <w:r w:rsidRPr="00CE32FE">
        <w:t>Benefícios</w:t>
      </w:r>
      <w:bookmarkEnd w:id="9"/>
    </w:p>
    <w:p w14:paraId="1B441B3B" w14:textId="77777777" w:rsidR="00FE5C74" w:rsidRPr="00207DE5" w:rsidRDefault="00FE5C74" w:rsidP="00A40735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207DE5">
        <w:rPr>
          <w:rFonts w:ascii="Calibri" w:eastAsiaTheme="minorHAnsi" w:hAnsi="Calibri" w:cs="Calibri"/>
          <w:sz w:val="22"/>
          <w:szCs w:val="22"/>
          <w:lang w:eastAsia="en-US"/>
        </w:rPr>
        <w:t>Os benefícios do serviço são:</w:t>
      </w:r>
    </w:p>
    <w:p w14:paraId="7629FC59" w14:textId="08461E14" w:rsidR="008B32C9" w:rsidRPr="00A162CD" w:rsidRDefault="00023783" w:rsidP="00023783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="008B32C9" w:rsidRPr="00207DE5">
        <w:rPr>
          <w:rFonts w:ascii="Calibri" w:eastAsiaTheme="minorHAnsi" w:hAnsi="Calibri" w:cs="Calibri"/>
          <w:sz w:val="22"/>
          <w:szCs w:val="22"/>
          <w:lang w:eastAsia="en-US"/>
        </w:rPr>
        <w:t>expertise</w:t>
      </w:r>
      <w:r w:rsidR="008B32C9" w:rsidRPr="00A162C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D23E78">
        <w:rPr>
          <w:rFonts w:ascii="Calibri" w:eastAsiaTheme="minorHAnsi" w:hAnsi="Calibri" w:cs="Calibri"/>
          <w:sz w:val="22"/>
          <w:szCs w:val="22"/>
          <w:lang w:eastAsia="en-US"/>
        </w:rPr>
        <w:t>de profissionais</w:t>
      </w:r>
      <w:r w:rsidR="008B32C9" w:rsidRPr="00207DE5">
        <w:rPr>
          <w:rFonts w:ascii="Calibri" w:eastAsiaTheme="minorHAnsi" w:hAnsi="Calibri" w:cs="Calibri"/>
          <w:sz w:val="22"/>
          <w:szCs w:val="22"/>
          <w:lang w:eastAsia="en-US"/>
        </w:rPr>
        <w:t xml:space="preserve"> em plataformas de e-mail em nuvem permite aproveitar ao máximo os recursos disponíveis, otimizando custos e desempenho</w:t>
      </w:r>
      <w:r w:rsidR="008B32C9" w:rsidRPr="00A162CD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7B6FEE45" w14:textId="2A89C311" w:rsidR="00FE5C74" w:rsidRPr="00207DE5" w:rsidRDefault="00B8404F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Redução de custos operacionais, </w:t>
      </w:r>
      <w:r w:rsidR="007F533E">
        <w:rPr>
          <w:rFonts w:ascii="Calibri" w:eastAsiaTheme="minorHAnsi" w:hAnsi="Calibri" w:cs="Calibri"/>
          <w:sz w:val="22"/>
          <w:szCs w:val="22"/>
          <w:lang w:eastAsia="en-US"/>
        </w:rPr>
        <w:t>proporciona</w:t>
      </w:r>
      <w:r>
        <w:rPr>
          <w:rFonts w:ascii="Calibri" w:eastAsiaTheme="minorHAnsi" w:hAnsi="Calibri" w:cs="Calibri"/>
          <w:sz w:val="22"/>
          <w:szCs w:val="22"/>
          <w:lang w:eastAsia="en-US"/>
        </w:rPr>
        <w:t>ndo</w:t>
      </w:r>
      <w:r w:rsidR="004D40FD" w:rsidRPr="00207DE5">
        <w:rPr>
          <w:rFonts w:ascii="Calibri" w:eastAsiaTheme="minorHAnsi" w:hAnsi="Calibri" w:cs="Calibri"/>
          <w:sz w:val="22"/>
          <w:szCs w:val="22"/>
          <w:lang w:eastAsia="en-US"/>
        </w:rPr>
        <w:t xml:space="preserve"> um serviço sem interrupções significativas, minimizando impactos nas operações diárias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e </w:t>
      </w:r>
      <w:r w:rsidR="001A591F" w:rsidRPr="00207DE5">
        <w:rPr>
          <w:rFonts w:ascii="Calibri" w:eastAsiaTheme="minorHAnsi" w:hAnsi="Calibri" w:cs="Calibri"/>
          <w:sz w:val="22"/>
          <w:szCs w:val="22"/>
          <w:lang w:eastAsia="en-US"/>
        </w:rPr>
        <w:t>a</w:t>
      </w:r>
      <w:r w:rsidR="00FE5C74" w:rsidRPr="00207DE5">
        <w:rPr>
          <w:rFonts w:ascii="Calibri" w:eastAsiaTheme="minorHAnsi" w:hAnsi="Calibri" w:cs="Calibri"/>
          <w:sz w:val="22"/>
          <w:szCs w:val="22"/>
          <w:lang w:eastAsia="en-US"/>
        </w:rPr>
        <w:t>ument</w:t>
      </w:r>
      <w:r w:rsidR="001A591F" w:rsidRPr="00207DE5">
        <w:rPr>
          <w:rFonts w:ascii="Calibri" w:eastAsiaTheme="minorHAnsi" w:hAnsi="Calibri" w:cs="Calibri"/>
          <w:sz w:val="22"/>
          <w:szCs w:val="22"/>
          <w:lang w:eastAsia="en-US"/>
        </w:rPr>
        <w:t>ando a</w:t>
      </w:r>
      <w:r w:rsidR="00FE5C74" w:rsidRPr="00207DE5">
        <w:rPr>
          <w:rFonts w:ascii="Calibri" w:eastAsiaTheme="minorHAnsi" w:hAnsi="Calibri" w:cs="Calibri"/>
          <w:sz w:val="22"/>
          <w:szCs w:val="22"/>
          <w:lang w:eastAsia="en-US"/>
        </w:rPr>
        <w:t xml:space="preserve"> produtividade;</w:t>
      </w:r>
    </w:p>
    <w:p w14:paraId="1014BF69" w14:textId="14F1ED86" w:rsidR="00FE5C74" w:rsidRPr="00207DE5" w:rsidRDefault="00FE5C74" w:rsidP="004775A2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207DE5">
        <w:rPr>
          <w:rFonts w:ascii="Calibri" w:eastAsiaTheme="minorHAnsi" w:hAnsi="Calibri" w:cs="Calibri"/>
          <w:sz w:val="22"/>
          <w:szCs w:val="22"/>
          <w:lang w:eastAsia="en-US"/>
        </w:rPr>
        <w:t>Uso das melhores práticas de gerenciamento de serviços;</w:t>
      </w:r>
    </w:p>
    <w:p w14:paraId="06FFD9D1" w14:textId="7CFA9210" w:rsidR="00FE5C74" w:rsidRPr="00207DE5" w:rsidRDefault="00B8404F" w:rsidP="004775A2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  <w:r w:rsidR="00FE5C74" w:rsidRPr="00207DE5">
        <w:rPr>
          <w:rFonts w:ascii="Calibri" w:eastAsiaTheme="minorHAnsi" w:hAnsi="Calibri" w:cs="Calibri"/>
          <w:sz w:val="22"/>
          <w:szCs w:val="22"/>
          <w:lang w:eastAsia="en-US"/>
        </w:rPr>
        <w:t>companhamento do consumo das licença e us</w:t>
      </w:r>
      <w:r w:rsidR="00A40735" w:rsidRPr="00207DE5">
        <w:rPr>
          <w:rFonts w:ascii="Calibri" w:eastAsiaTheme="minorHAnsi" w:hAnsi="Calibri" w:cs="Calibri"/>
          <w:sz w:val="22"/>
          <w:szCs w:val="22"/>
          <w:lang w:eastAsia="en-US"/>
        </w:rPr>
        <w:t>o das soluções de produtividade</w:t>
      </w:r>
      <w:r>
        <w:rPr>
          <w:rFonts w:ascii="Calibri" w:eastAsiaTheme="minorHAnsi" w:hAnsi="Calibri" w:cs="Calibri"/>
          <w:sz w:val="22"/>
          <w:szCs w:val="22"/>
          <w:lang w:eastAsia="en-US"/>
        </w:rPr>
        <w:t>, proporcionando maior visibilidade e gestão</w:t>
      </w:r>
      <w:r w:rsidR="00A40735" w:rsidRPr="00207DE5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2124AC3B" w14:textId="01688B6F" w:rsidR="00094992" w:rsidRPr="00207DE5" w:rsidRDefault="0000262F" w:rsidP="00207DE5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207DE5">
        <w:rPr>
          <w:rFonts w:ascii="Calibri" w:eastAsiaTheme="minorHAnsi" w:hAnsi="Calibri" w:cs="Calibri"/>
          <w:sz w:val="22"/>
          <w:szCs w:val="22"/>
          <w:lang w:eastAsia="en-US"/>
        </w:rPr>
        <w:t>Serviços</w:t>
      </w:r>
      <w:r w:rsidR="00094992" w:rsidRPr="00207DE5">
        <w:rPr>
          <w:rFonts w:ascii="Calibri" w:eastAsiaTheme="minorHAnsi" w:hAnsi="Calibri" w:cs="Calibri"/>
          <w:sz w:val="22"/>
          <w:szCs w:val="22"/>
          <w:lang w:eastAsia="en-US"/>
        </w:rPr>
        <w:t xml:space="preserve"> em conformidade com regulamentações aplicáveis e implementa</w:t>
      </w:r>
      <w:r w:rsidRPr="00207DE5">
        <w:rPr>
          <w:rFonts w:ascii="Calibri" w:eastAsiaTheme="minorHAnsi" w:hAnsi="Calibri" w:cs="Calibri"/>
          <w:sz w:val="22"/>
          <w:szCs w:val="22"/>
          <w:lang w:eastAsia="en-US"/>
        </w:rPr>
        <w:t>ção de</w:t>
      </w:r>
      <w:r w:rsidR="00094992" w:rsidRPr="00207DE5">
        <w:rPr>
          <w:rFonts w:ascii="Calibri" w:eastAsiaTheme="minorHAnsi" w:hAnsi="Calibri" w:cs="Calibri"/>
          <w:sz w:val="22"/>
          <w:szCs w:val="22"/>
          <w:lang w:eastAsia="en-US"/>
        </w:rPr>
        <w:t xml:space="preserve"> práticas de segurança robustas para proteger dados sensíveis</w:t>
      </w:r>
      <w:r w:rsidRPr="00207DE5">
        <w:rPr>
          <w:rFonts w:ascii="Calibri" w:eastAsiaTheme="minorHAnsi" w:hAnsi="Calibri" w:cs="Calibri"/>
          <w:sz w:val="22"/>
          <w:szCs w:val="22"/>
          <w:lang w:eastAsia="en-US"/>
        </w:rPr>
        <w:t xml:space="preserve"> dos </w:t>
      </w:r>
      <w:r w:rsidRPr="00207DE5">
        <w:rPr>
          <w:rFonts w:ascii="Calibri" w:eastAsiaTheme="minorHAnsi" w:hAnsi="Calibri" w:cs="Calibri"/>
          <w:b/>
          <w:sz w:val="22"/>
          <w:szCs w:val="22"/>
          <w:lang w:eastAsia="en-US"/>
        </w:rPr>
        <w:t>CLIENTES</w:t>
      </w:r>
      <w:r w:rsidRPr="00207DE5">
        <w:rPr>
          <w:rFonts w:ascii="Calibri" w:eastAsiaTheme="minorHAnsi" w:hAnsi="Calibri" w:cs="Calibri"/>
          <w:sz w:val="22"/>
          <w:szCs w:val="22"/>
          <w:lang w:eastAsia="en-US"/>
        </w:rPr>
        <w:t>;</w:t>
      </w:r>
    </w:p>
    <w:p w14:paraId="2A35D1ED" w14:textId="6772EA06" w:rsidR="00C83445" w:rsidRPr="00CE32FE" w:rsidRDefault="00C04071" w:rsidP="00F60DE3">
      <w:pPr>
        <w:pStyle w:val="Titulo2"/>
      </w:pPr>
      <w:bookmarkStart w:id="10" w:name="_Toc153297230"/>
      <w:bookmarkStart w:id="11" w:name="_Toc153297232"/>
      <w:bookmarkStart w:id="12" w:name="_Toc153297233"/>
      <w:bookmarkStart w:id="13" w:name="_Toc153297235"/>
      <w:bookmarkStart w:id="14" w:name="_Toc153297237"/>
      <w:bookmarkStart w:id="15" w:name="_Toc153297238"/>
      <w:bookmarkStart w:id="16" w:name="_Toc153297239"/>
      <w:bookmarkStart w:id="17" w:name="_Toc153297240"/>
      <w:bookmarkStart w:id="18" w:name="_Toc153297242"/>
      <w:bookmarkStart w:id="19" w:name="_Toc153297243"/>
      <w:bookmarkStart w:id="20" w:name="_Toc153297244"/>
      <w:bookmarkStart w:id="21" w:name="_Toc153297245"/>
      <w:bookmarkStart w:id="22" w:name="_Toc17032701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CE32FE">
        <w:t>Diferenciais comerciais</w:t>
      </w:r>
      <w:bookmarkEnd w:id="22"/>
    </w:p>
    <w:p w14:paraId="2BD6341E" w14:textId="283A983D" w:rsidR="00194001" w:rsidRPr="00194001" w:rsidRDefault="00A65015" w:rsidP="00194001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é </w:t>
      </w:r>
      <w:r w:rsidR="001E67AE">
        <w:rPr>
          <w:rFonts w:ascii="Calibri" w:eastAsiaTheme="minorHAnsi" w:hAnsi="Calibri"/>
          <w:sz w:val="22"/>
          <w:szCs w:val="22"/>
          <w:lang w:eastAsia="en-US"/>
        </w:rPr>
        <w:t>um p</w:t>
      </w:r>
      <w:r w:rsidR="001E67AE" w:rsidRPr="00194001">
        <w:rPr>
          <w:rFonts w:ascii="Calibri" w:eastAsiaTheme="minorHAnsi" w:hAnsi="Calibri"/>
          <w:sz w:val="22"/>
          <w:szCs w:val="22"/>
          <w:lang w:eastAsia="en-US"/>
        </w:rPr>
        <w:t>arceiro</w:t>
      </w:r>
      <w:r w:rsidR="00194001" w:rsidRPr="00194001">
        <w:rPr>
          <w:rFonts w:ascii="Calibri" w:eastAsiaTheme="minorHAnsi" w:hAnsi="Calibri"/>
          <w:sz w:val="22"/>
          <w:szCs w:val="22"/>
          <w:lang w:eastAsia="en-US"/>
        </w:rPr>
        <w:t xml:space="preserve"> especializado em serviços de colaboração</w:t>
      </w:r>
      <w:r w:rsidR="00D22E24">
        <w:rPr>
          <w:rFonts w:ascii="Calibri" w:eastAsiaTheme="minorHAnsi" w:hAnsi="Calibri"/>
          <w:sz w:val="22"/>
          <w:szCs w:val="22"/>
          <w:lang w:eastAsia="en-US"/>
        </w:rPr>
        <w:t xml:space="preserve"> que</w:t>
      </w:r>
      <w:r w:rsidR="00194001" w:rsidRPr="00194001">
        <w:rPr>
          <w:rFonts w:ascii="Calibri" w:eastAsiaTheme="minorHAnsi" w:hAnsi="Calibri"/>
          <w:sz w:val="22"/>
          <w:szCs w:val="22"/>
          <w:lang w:eastAsia="en-US"/>
        </w:rPr>
        <w:t xml:space="preserve"> têm experiência e conhecimento aprofundado nas tecnolog</w:t>
      </w:r>
      <w:r w:rsidR="00D22E24">
        <w:rPr>
          <w:rFonts w:ascii="Calibri" w:eastAsiaTheme="minorHAnsi" w:hAnsi="Calibri"/>
          <w:sz w:val="22"/>
          <w:szCs w:val="22"/>
          <w:lang w:eastAsia="en-US"/>
        </w:rPr>
        <w:t>ias e ferramentas</w:t>
      </w:r>
      <w:r w:rsidR="00194001" w:rsidRPr="00194001">
        <w:rPr>
          <w:rFonts w:ascii="Calibri" w:eastAsiaTheme="minorHAnsi" w:hAnsi="Calibri"/>
          <w:sz w:val="22"/>
          <w:szCs w:val="22"/>
          <w:lang w:eastAsia="en-US"/>
        </w:rPr>
        <w:t>, garantindo implementações precisas e eficientes</w:t>
      </w:r>
      <w:r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B32A029" w14:textId="0F3C03A7" w:rsidR="00194001" w:rsidRPr="00207DE5" w:rsidRDefault="001E67AE" w:rsidP="00A65015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Nossos e</w:t>
      </w:r>
      <w:r w:rsidR="00194001" w:rsidRPr="00207DE5">
        <w:rPr>
          <w:rFonts w:ascii="Calibri" w:eastAsiaTheme="minorHAnsi" w:hAnsi="Calibri"/>
          <w:sz w:val="22"/>
          <w:szCs w:val="22"/>
          <w:lang w:eastAsia="en-US"/>
        </w:rPr>
        <w:t xml:space="preserve">specialistas em colaboração têm </w:t>
      </w:r>
      <w:r w:rsidR="00D22E24">
        <w:rPr>
          <w:rFonts w:ascii="Calibri" w:eastAsiaTheme="minorHAnsi" w:hAnsi="Calibri"/>
          <w:sz w:val="22"/>
          <w:szCs w:val="22"/>
          <w:lang w:eastAsia="en-US"/>
        </w:rPr>
        <w:t>habilidades para integrar</w:t>
      </w:r>
      <w:r w:rsidR="00194001" w:rsidRPr="00207DE5">
        <w:rPr>
          <w:rFonts w:ascii="Calibri" w:eastAsiaTheme="minorHAnsi" w:hAnsi="Calibri"/>
          <w:sz w:val="22"/>
          <w:szCs w:val="22"/>
          <w:lang w:eastAsia="en-US"/>
        </w:rPr>
        <w:t xml:space="preserve"> ferramentas, como plataformas de videoconferência, mensagens instantâneas, e-mail, e sistemas de gerenciamento de documentos, garantindo uma </w:t>
      </w:r>
      <w:r w:rsidRPr="001E67AE">
        <w:rPr>
          <w:rFonts w:ascii="Calibri" w:eastAsiaTheme="minorHAnsi" w:hAnsi="Calibri"/>
          <w:sz w:val="22"/>
          <w:szCs w:val="22"/>
          <w:lang w:eastAsia="en-US"/>
        </w:rPr>
        <w:t>experiência de usuário contínua;</w:t>
      </w:r>
    </w:p>
    <w:p w14:paraId="596FD456" w14:textId="09D1EC31" w:rsidR="00194001" w:rsidRPr="00194001" w:rsidRDefault="00194001" w:rsidP="00194001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194001">
        <w:rPr>
          <w:rFonts w:ascii="Calibri" w:eastAsiaTheme="minorHAnsi" w:hAnsi="Calibri"/>
          <w:sz w:val="22"/>
          <w:szCs w:val="22"/>
          <w:lang w:eastAsia="en-US"/>
        </w:rPr>
        <w:t>Utilizam</w:t>
      </w:r>
      <w:r w:rsidR="001E67AE">
        <w:rPr>
          <w:rFonts w:ascii="Calibri" w:eastAsiaTheme="minorHAnsi" w:hAnsi="Calibri"/>
          <w:sz w:val="22"/>
          <w:szCs w:val="22"/>
          <w:lang w:eastAsia="en-US"/>
        </w:rPr>
        <w:t>os</w:t>
      </w:r>
      <w:r w:rsidRPr="00194001">
        <w:rPr>
          <w:rFonts w:ascii="Calibri" w:eastAsiaTheme="minorHAnsi" w:hAnsi="Calibri"/>
          <w:sz w:val="22"/>
          <w:szCs w:val="22"/>
          <w:lang w:eastAsia="en-US"/>
        </w:rPr>
        <w:t xml:space="preserve"> as melhores práticas para implementação rápida e eficaz das soluções de colaboração, minimizando o tempo de inatividade</w:t>
      </w:r>
      <w:r w:rsidR="001E67AE">
        <w:rPr>
          <w:rFonts w:ascii="Calibri" w:eastAsiaTheme="minorHAnsi" w:hAnsi="Calibri"/>
          <w:sz w:val="22"/>
          <w:szCs w:val="22"/>
          <w:lang w:eastAsia="en-US"/>
        </w:rPr>
        <w:t xml:space="preserve"> e interrupções nas operações;</w:t>
      </w:r>
    </w:p>
    <w:p w14:paraId="1A27250D" w14:textId="0BAE95F6" w:rsidR="00194001" w:rsidRPr="00194001" w:rsidRDefault="00194001" w:rsidP="00194001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194001">
        <w:rPr>
          <w:rFonts w:ascii="Calibri" w:eastAsiaTheme="minorHAnsi" w:hAnsi="Calibri"/>
          <w:sz w:val="22"/>
          <w:szCs w:val="22"/>
          <w:lang w:eastAsia="en-US"/>
        </w:rPr>
        <w:t xml:space="preserve">Suporte Técnico </w:t>
      </w:r>
      <w:r w:rsidR="001E67AE">
        <w:rPr>
          <w:rFonts w:ascii="Calibri" w:eastAsiaTheme="minorHAnsi" w:hAnsi="Calibri"/>
          <w:sz w:val="22"/>
          <w:szCs w:val="22"/>
          <w:lang w:eastAsia="en-US"/>
        </w:rPr>
        <w:t>especializado</w:t>
      </w:r>
      <w:r w:rsidRPr="00194001">
        <w:rPr>
          <w:rFonts w:ascii="Calibri" w:eastAsiaTheme="minorHAnsi" w:hAnsi="Calibri"/>
          <w:sz w:val="22"/>
          <w:szCs w:val="22"/>
          <w:lang w:eastAsia="en-US"/>
        </w:rPr>
        <w:t>, reso</w:t>
      </w:r>
      <w:r w:rsidR="000C4904">
        <w:rPr>
          <w:rFonts w:ascii="Calibri" w:eastAsiaTheme="minorHAnsi" w:hAnsi="Calibri"/>
          <w:sz w:val="22"/>
          <w:szCs w:val="22"/>
          <w:lang w:eastAsia="en-US"/>
        </w:rPr>
        <w:t xml:space="preserve">lvendo problemas e respondendo </w:t>
      </w:r>
      <w:r w:rsidR="00D23E78">
        <w:rPr>
          <w:rFonts w:ascii="Calibri" w:eastAsiaTheme="minorHAnsi" w:hAnsi="Calibri"/>
          <w:sz w:val="22"/>
          <w:szCs w:val="22"/>
          <w:lang w:eastAsia="en-US"/>
        </w:rPr>
        <w:t>às</w:t>
      </w:r>
      <w:r w:rsidRPr="00194001">
        <w:rPr>
          <w:rFonts w:ascii="Calibri" w:eastAsiaTheme="minorHAnsi" w:hAnsi="Calibri"/>
          <w:sz w:val="22"/>
          <w:szCs w:val="22"/>
          <w:lang w:eastAsia="en-US"/>
        </w:rPr>
        <w:t xml:space="preserve"> consultas de forma eficiente para garant</w:t>
      </w:r>
      <w:r w:rsidR="001E67AE">
        <w:rPr>
          <w:rFonts w:ascii="Calibri" w:eastAsiaTheme="minorHAnsi" w:hAnsi="Calibri"/>
          <w:sz w:val="22"/>
          <w:szCs w:val="22"/>
          <w:lang w:eastAsia="en-US"/>
        </w:rPr>
        <w:t>ir a continuidade das operações;</w:t>
      </w:r>
    </w:p>
    <w:p w14:paraId="14192575" w14:textId="09723B40" w:rsidR="00194001" w:rsidRPr="00194001" w:rsidRDefault="001E67AE" w:rsidP="00194001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Nossa equipe está atualizada</w:t>
      </w:r>
      <w:r w:rsidR="00194001" w:rsidRPr="00194001">
        <w:rPr>
          <w:rFonts w:ascii="Calibri" w:eastAsiaTheme="minorHAnsi" w:hAnsi="Calibri"/>
          <w:sz w:val="22"/>
          <w:szCs w:val="22"/>
          <w:lang w:eastAsia="en-US"/>
        </w:rPr>
        <w:t xml:space="preserve"> com as últimas tendências e tecnologias de colaboração, incorporando inovações e mel</w:t>
      </w:r>
      <w:r>
        <w:rPr>
          <w:rFonts w:ascii="Calibri" w:eastAsiaTheme="minorHAnsi" w:hAnsi="Calibri"/>
          <w:sz w:val="22"/>
          <w:szCs w:val="22"/>
          <w:lang w:eastAsia="en-US"/>
        </w:rPr>
        <w:t>hores práticas em suas soluções;</w:t>
      </w:r>
    </w:p>
    <w:p w14:paraId="01D35B06" w14:textId="7643C205" w:rsidR="001E67AE" w:rsidRPr="003E5FB1" w:rsidRDefault="00CA0DA4" w:rsidP="001E67AE">
      <w:pPr>
        <w:pStyle w:val="PargrafodaLista"/>
        <w:numPr>
          <w:ilvl w:val="0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Níveis</w:t>
      </w:r>
      <w:r w:rsidR="001E67AE" w:rsidRPr="003518D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de Competência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comprovada </w:t>
      </w:r>
      <w:r w:rsidR="001E67AE" w:rsidRPr="003518DE">
        <w:rPr>
          <w:rFonts w:ascii="Calibri" w:eastAsiaTheme="minorHAnsi" w:hAnsi="Calibri"/>
          <w:noProof/>
          <w:sz w:val="22"/>
          <w:szCs w:val="22"/>
          <w:lang w:eastAsia="en-US"/>
        </w:rPr>
        <w:t>tecnologias da Microsoft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que auxiliam na prestação do serviço</w:t>
      </w:r>
      <w:r w:rsidR="001E67AE" w:rsidRPr="003518DE">
        <w:rPr>
          <w:rFonts w:ascii="Calibri" w:eastAsiaTheme="minorHAnsi" w:hAnsi="Calibri"/>
          <w:noProof/>
          <w:sz w:val="22"/>
          <w:szCs w:val="22"/>
          <w:lang w:eastAsia="en-US"/>
        </w:rPr>
        <w:t>:</w:t>
      </w:r>
    </w:p>
    <w:p w14:paraId="2457B5FF" w14:textId="77777777" w:rsidR="001E67AE" w:rsidRPr="003E5FB1" w:rsidRDefault="001E67AE" w:rsidP="001E67AE">
      <w:pPr>
        <w:pStyle w:val="PargrafodaLista"/>
        <w:numPr>
          <w:ilvl w:val="1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>Gold Cloud Productivity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53EDAFAF" w14:textId="77777777" w:rsidR="001E67AE" w:rsidRPr="003E5FB1" w:rsidRDefault="001E67AE" w:rsidP="001E67AE">
      <w:pPr>
        <w:pStyle w:val="PargrafodaLista"/>
        <w:numPr>
          <w:ilvl w:val="1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>Gold Collaboration and Content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6079B852" w14:textId="77777777" w:rsidR="001E67AE" w:rsidRPr="003E5FB1" w:rsidRDefault="001E67AE" w:rsidP="001E67AE">
      <w:pPr>
        <w:pStyle w:val="PargrafodaLista"/>
        <w:numPr>
          <w:ilvl w:val="1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>Gold Communications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38A10346" w14:textId="77777777" w:rsidR="001E67AE" w:rsidRPr="003E5FB1" w:rsidRDefault="001E67AE" w:rsidP="001E67AE">
      <w:pPr>
        <w:pStyle w:val="PargrafodaLista"/>
        <w:numPr>
          <w:ilvl w:val="1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>Gold Messaging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140753F9" w14:textId="77777777" w:rsidR="001E67AE" w:rsidRPr="003E5FB1" w:rsidRDefault="001E67AE" w:rsidP="001E67AE">
      <w:pPr>
        <w:pStyle w:val="PargrafodaLista"/>
        <w:numPr>
          <w:ilvl w:val="1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>Silver Enterprise Mobility Management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782D2C21" w14:textId="77777777" w:rsidR="001E67AE" w:rsidRPr="003E5FB1" w:rsidRDefault="001E67AE" w:rsidP="001E67AE">
      <w:pPr>
        <w:pStyle w:val="PargrafodaLista"/>
        <w:numPr>
          <w:ilvl w:val="1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>Gold Security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7802E26C" w14:textId="77777777" w:rsidR="001E67AE" w:rsidRPr="003E5FB1" w:rsidRDefault="001E67AE" w:rsidP="001E67AE">
      <w:pPr>
        <w:pStyle w:val="PargrafodaLista"/>
        <w:numPr>
          <w:ilvl w:val="1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>Gold Application Integration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7E38F343" w14:textId="77777777" w:rsidR="001E67AE" w:rsidRPr="003E5FB1" w:rsidRDefault="001E67AE" w:rsidP="001E67AE">
      <w:pPr>
        <w:pStyle w:val="PargrafodaLista"/>
        <w:numPr>
          <w:ilvl w:val="1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>Parceiro de Soluções para Modern Work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1C2A7D00" w14:textId="20772950" w:rsidR="001E67AE" w:rsidRPr="003E5FB1" w:rsidRDefault="001E67AE" w:rsidP="001E67AE">
      <w:pPr>
        <w:pStyle w:val="PargrafodaLista"/>
        <w:numPr>
          <w:ilvl w:val="0"/>
          <w:numId w:val="4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Capacidade de atender o </w:t>
      </w:r>
      <w:r w:rsidRPr="003518DE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CLIENTE </w:t>
      </w: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>de forma integrada com as demais soluções digitais da</w:t>
      </w:r>
      <w:r w:rsidRPr="008422AB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SONDA</w:t>
      </w:r>
      <w:r w:rsidRPr="003518D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. </w:t>
      </w:r>
    </w:p>
    <w:p w14:paraId="6C1B36F0" w14:textId="0D9E6D4C" w:rsidR="00F87A71" w:rsidRPr="00CE32FE" w:rsidRDefault="00FE5C74" w:rsidP="00A40735">
      <w:pPr>
        <w:pStyle w:val="Titulo1"/>
      </w:pPr>
      <w:bookmarkStart w:id="23" w:name="_Toc150263390"/>
      <w:bookmarkStart w:id="24" w:name="_Toc153297247"/>
      <w:bookmarkStart w:id="25" w:name="_Toc153297248"/>
      <w:bookmarkStart w:id="26" w:name="_Toc153297249"/>
      <w:bookmarkStart w:id="27" w:name="_Toc153297251"/>
      <w:bookmarkStart w:id="28" w:name="_Toc153297253"/>
      <w:bookmarkStart w:id="29" w:name="_Toc153297255"/>
      <w:bookmarkStart w:id="30" w:name="_Toc153297257"/>
      <w:bookmarkStart w:id="31" w:name="_Toc153297259"/>
      <w:bookmarkStart w:id="32" w:name="_Toc153297261"/>
      <w:bookmarkStart w:id="33" w:name="_Toc153297263"/>
      <w:bookmarkStart w:id="34" w:name="_Toc153297265"/>
      <w:bookmarkStart w:id="35" w:name="_Toc153297267"/>
      <w:bookmarkStart w:id="36" w:name="_Toc153297269"/>
      <w:bookmarkStart w:id="37" w:name="_Toc153297272"/>
      <w:bookmarkStart w:id="38" w:name="_Toc153297273"/>
      <w:bookmarkStart w:id="39" w:name="_Toc153297274"/>
      <w:bookmarkStart w:id="40" w:name="_Toc17032702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CE32FE">
        <w:t>Escopo de Atuação</w:t>
      </w:r>
      <w:bookmarkEnd w:id="40"/>
    </w:p>
    <w:p w14:paraId="5C14B953" w14:textId="33C265FA" w:rsidR="00FE5C74" w:rsidRPr="00207DE5" w:rsidRDefault="00FF5618" w:rsidP="00A40735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07DE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As soluções empresariais </w:t>
      </w:r>
      <w:r w:rsidR="00695D6E" w:rsidRPr="00207DE5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de colaboração, </w:t>
      </w:r>
      <w:r w:rsidR="00FE5C74"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>oferece</w:t>
      </w:r>
      <w:r w:rsidR="00695D6E"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>m</w:t>
      </w:r>
      <w:r w:rsidR="00FE5C74"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muitas vantagens para as empresas, mas para que essa seja uma experiência bem-sucedida, é necessário um provedor de serviços de TI que ajude a enfrentar desafios, superar incidentes e problemas. Além disso, deve ser capaz de fornecer recursos de maneira eficiente, ajustando-se a orçamentos, facilitando o faturamento em moeda local e oferecendo excelente suporte a serviços hospeda</w:t>
      </w:r>
      <w:r w:rsidR="00107C44"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dos na nuvem. Assim, os </w:t>
      </w:r>
      <w:r w:rsidR="00107C44" w:rsidRPr="00207D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CLIENTES</w:t>
      </w:r>
      <w:r w:rsidR="00FE5C74"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não terão que se preocupar com o gerenciamento de escalabilidade (crescimento e diminuição de recursos), idioma, tempos de resposta, entre outros.</w:t>
      </w:r>
    </w:p>
    <w:p w14:paraId="2216989E" w14:textId="3ABC3B1D" w:rsidR="00FE5C74" w:rsidRDefault="00FE5C74" w:rsidP="00A40735">
      <w:pPr>
        <w:spacing w:after="16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 serviço </w:t>
      </w:r>
      <w:r w:rsidRPr="00207DE5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>SONDA</w:t>
      </w:r>
      <w:r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permite o acesso a especialistas treinados para lidar com as complexidades d</w:t>
      </w:r>
      <w:r w:rsidR="00D22E24"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>essas ferramentas</w:t>
      </w:r>
      <w:r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associada à Serviço</w:t>
      </w:r>
      <w:r w:rsidR="009E2ED9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Pr="00207DE5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 migração </w:t>
      </w:r>
      <w:r w:rsidR="009E2ED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de E-mail, </w:t>
      </w:r>
      <w:r w:rsidR="009E2ED9" w:rsidRPr="009E2ED9">
        <w:rPr>
          <w:rFonts w:asciiTheme="majorHAnsi" w:eastAsiaTheme="minorHAnsi" w:hAnsiTheme="majorHAnsi" w:cstheme="majorHAnsi"/>
          <w:sz w:val="22"/>
          <w:szCs w:val="22"/>
          <w:lang w:eastAsia="en-US"/>
        </w:rPr>
        <w:t>Insta</w:t>
      </w:r>
      <w:r w:rsidR="009E2ED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lação, Configuração e </w:t>
      </w:r>
      <w:r w:rsidR="009E2ED9" w:rsidRPr="004E0544">
        <w:rPr>
          <w:rFonts w:asciiTheme="majorHAnsi" w:eastAsiaTheme="minorHAnsi" w:hAnsiTheme="majorHAnsi" w:cstheme="majorHAnsi"/>
          <w:sz w:val="22"/>
          <w:szCs w:val="22"/>
          <w:lang w:eastAsia="en-US"/>
        </w:rPr>
        <w:t>Administração</w:t>
      </w:r>
      <w:r w:rsidR="009E2ED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9E2ED9" w:rsidRPr="004E0544">
        <w:rPr>
          <w:rFonts w:asciiTheme="majorHAnsi" w:eastAsiaTheme="minorHAnsi" w:hAnsiTheme="majorHAnsi" w:cstheme="majorHAnsi"/>
          <w:sz w:val="22"/>
          <w:szCs w:val="22"/>
          <w:lang w:eastAsia="en-US"/>
        </w:rPr>
        <w:t>do Ambiente</w:t>
      </w:r>
      <w:r w:rsidR="009E2ED9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305EE7FF" w14:textId="5407822C" w:rsidR="00822037" w:rsidRDefault="00822037" w:rsidP="00F60DE3">
      <w:pPr>
        <w:pStyle w:val="Titulo2"/>
      </w:pPr>
      <w:bookmarkStart w:id="41" w:name="_Toc153297276"/>
      <w:bookmarkStart w:id="42" w:name="_Toc153297277"/>
      <w:bookmarkStart w:id="43" w:name="_Toc153297278"/>
      <w:bookmarkStart w:id="44" w:name="_Toc170327021"/>
      <w:bookmarkEnd w:id="41"/>
      <w:bookmarkEnd w:id="42"/>
      <w:bookmarkEnd w:id="43"/>
      <w:r w:rsidRPr="00CE32FE">
        <w:t xml:space="preserve">Migração </w:t>
      </w:r>
      <w:r>
        <w:t xml:space="preserve">de </w:t>
      </w:r>
      <w:r w:rsidR="003C4DD8">
        <w:t>E-mail</w:t>
      </w:r>
      <w:bookmarkEnd w:id="44"/>
      <w:r w:rsidRPr="00A80BF4">
        <w:t xml:space="preserve"> </w:t>
      </w:r>
    </w:p>
    <w:p w14:paraId="70FE3853" w14:textId="7D90515D" w:rsidR="00822037" w:rsidRPr="008422AB" w:rsidRDefault="00822037" w:rsidP="00822037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Os serviços de migração referem-se a serviços especializados oferecidos por </w:t>
      </w:r>
      <w:r w:rsidR="007E7C6E" w:rsidRPr="008422AB">
        <w:rPr>
          <w:rFonts w:ascii="Calibri" w:eastAsiaTheme="minorHAnsi" w:hAnsi="Calibri" w:cs="Calibri"/>
          <w:sz w:val="22"/>
          <w:szCs w:val="22"/>
          <w:lang w:eastAsia="en-US"/>
        </w:rPr>
        <w:t>profissionais para</w:t>
      </w: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 facilitar a transição suave de sistemas de e-mail de uma plataforma para outra, como migração de servidores de e-mail locais para serviços de e-mail na nuvem, que incluem: </w:t>
      </w:r>
    </w:p>
    <w:p w14:paraId="63C3ADAE" w14:textId="38C17243" w:rsidR="00822037" w:rsidRPr="008422AB" w:rsidRDefault="00822037" w:rsidP="00822037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Avaliação dos sistemas de e-mail existentes no </w:t>
      </w:r>
      <w:r w:rsidRPr="008422AB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>, identificando requisito</w:t>
      </w:r>
      <w:r w:rsidR="00162135"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s, metas e desafios da migração, </w:t>
      </w:r>
      <w:r w:rsidR="00162135" w:rsidRPr="008422AB">
        <w:rPr>
          <w:rFonts w:ascii="Calibri" w:hAnsi="Calibri" w:cs="Calibri"/>
          <w:sz w:val="22"/>
          <w:szCs w:val="22"/>
          <w:lang w:eastAsia="pt-BR"/>
        </w:rPr>
        <w:t>incluindo volume de dados, tipos de contas de e-mail e personalizações necessárias;</w:t>
      </w:r>
    </w:p>
    <w:p w14:paraId="06CAF142" w14:textId="48C619CF" w:rsidR="00822037" w:rsidRPr="008422AB" w:rsidRDefault="00822037" w:rsidP="00207DE5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Recomendação da plataforma de e-mail na nuvem mais adequada às necessidades do </w:t>
      </w:r>
      <w:r w:rsidRPr="008422AB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>, considerando recursos, custo e requisitos específicos;</w:t>
      </w:r>
    </w:p>
    <w:p w14:paraId="797CB896" w14:textId="56457D8B" w:rsidR="00822037" w:rsidRPr="008422AB" w:rsidRDefault="00822037" w:rsidP="00207DE5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hAnsi="Calibri" w:cs="Calibri"/>
          <w:sz w:val="22"/>
          <w:szCs w:val="22"/>
          <w:lang w:eastAsia="pt-BR"/>
        </w:rPr>
        <w:t>Criação de estratégias personalizadas de migração, considerando a infraestrutura existente, os objetivos e a minim</w:t>
      </w:r>
      <w:r w:rsidR="00162135" w:rsidRPr="008422AB">
        <w:rPr>
          <w:rFonts w:ascii="Calibri" w:hAnsi="Calibri" w:cs="Calibri"/>
          <w:sz w:val="22"/>
          <w:szCs w:val="22"/>
          <w:lang w:eastAsia="pt-BR"/>
        </w:rPr>
        <w:t>ização de impactos nos usuários;</w:t>
      </w:r>
    </w:p>
    <w:p w14:paraId="4B8D2AE4" w14:textId="4D2A4D22" w:rsidR="00E21300" w:rsidRPr="008422AB" w:rsidRDefault="00822037" w:rsidP="00207DE5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>Preparação dos ambientes de origem e destino, incluindo configuração de contas, migração de dados, configuração de segurança e integração com outras ferramentas e aplicativos;</w:t>
      </w:r>
    </w:p>
    <w:p w14:paraId="2AD28ADE" w14:textId="6C6AE2F5" w:rsidR="00E21300" w:rsidRPr="008422AB" w:rsidRDefault="00E21300" w:rsidP="00207DE5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hAnsi="Calibri" w:cs="Calibri"/>
          <w:sz w:val="22"/>
          <w:szCs w:val="22"/>
          <w:lang w:eastAsia="pt-BR"/>
        </w:rPr>
        <w:t>Mapeamento dos dados das contas de e-mails antigas para os formatos compatíveis com o novo ambiente, assegurando a integridade e consistência dos dados;</w:t>
      </w:r>
    </w:p>
    <w:p w14:paraId="07000634" w14:textId="23876AB2" w:rsidR="00362954" w:rsidRPr="008422AB" w:rsidRDefault="00822037" w:rsidP="00207DE5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>Transferência segura de dados de e-mail, incluindo e-mails, contatos, calendários e pastas, para a nova plataforma, minimizando o tempo de inatividade e evitando a perda de dados;</w:t>
      </w:r>
    </w:p>
    <w:p w14:paraId="5E08074B" w14:textId="5431E488" w:rsidR="00E21300" w:rsidRPr="008422AB" w:rsidRDefault="00162135" w:rsidP="00207DE5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Gestão de </w:t>
      </w:r>
      <w:r w:rsidR="00E21300" w:rsidRPr="008422AB">
        <w:rPr>
          <w:rFonts w:ascii="Calibri" w:hAnsi="Calibri" w:cs="Calibri"/>
          <w:sz w:val="22"/>
          <w:szCs w:val="22"/>
          <w:lang w:eastAsia="pt-BR"/>
        </w:rPr>
        <w:t xml:space="preserve">todas as fases do projeto, incluindo cronograma, recursos, riscos e comunicação </w:t>
      </w:r>
      <w:r w:rsidR="00362954" w:rsidRPr="008422AB">
        <w:rPr>
          <w:rFonts w:ascii="Calibri" w:hAnsi="Calibri" w:cs="Calibri"/>
          <w:sz w:val="22"/>
          <w:szCs w:val="22"/>
          <w:lang w:eastAsia="pt-BR"/>
        </w:rPr>
        <w:t xml:space="preserve">com o </w:t>
      </w:r>
      <w:r w:rsidR="00362954" w:rsidRPr="008422AB">
        <w:rPr>
          <w:rFonts w:ascii="Calibri" w:hAnsi="Calibri" w:cs="Calibri"/>
          <w:b/>
          <w:sz w:val="22"/>
          <w:szCs w:val="22"/>
          <w:lang w:eastAsia="pt-BR"/>
        </w:rPr>
        <w:t>CLIENTE</w:t>
      </w:r>
      <w:r w:rsidR="00362954" w:rsidRPr="008422AB">
        <w:rPr>
          <w:rFonts w:ascii="Calibri" w:hAnsi="Calibri" w:cs="Calibri"/>
          <w:sz w:val="22"/>
          <w:szCs w:val="22"/>
          <w:lang w:eastAsia="pt-BR"/>
        </w:rPr>
        <w:t>;</w:t>
      </w:r>
    </w:p>
    <w:p w14:paraId="65484ED4" w14:textId="48F66580" w:rsidR="00822037" w:rsidRPr="008422AB" w:rsidRDefault="00822037" w:rsidP="00822037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>Realização de testes para garantir que todos os dados foram migrados corretamente e qu</w:t>
      </w:r>
      <w:r w:rsidR="00162135" w:rsidRPr="008422AB">
        <w:rPr>
          <w:rFonts w:ascii="Calibri" w:eastAsiaTheme="minorHAnsi" w:hAnsi="Calibri" w:cs="Calibri"/>
          <w:sz w:val="22"/>
          <w:szCs w:val="22"/>
          <w:lang w:eastAsia="en-US"/>
        </w:rPr>
        <w:t>e as contas estão acessíveis e</w:t>
      </w: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 as funcionalidades operacionais;</w:t>
      </w:r>
    </w:p>
    <w:p w14:paraId="220511EE" w14:textId="45B67435" w:rsidR="00822037" w:rsidRPr="008422AB" w:rsidRDefault="00822037" w:rsidP="00822037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Suporte técnico contínuo para resolver problemas durante a migração e/ou pelo tempo contratado; </w:t>
      </w:r>
    </w:p>
    <w:p w14:paraId="378D950E" w14:textId="5A4E7D71" w:rsidR="00822037" w:rsidRPr="008422AB" w:rsidRDefault="00822037" w:rsidP="00822037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Configuração da nova plataforma de e-mail de acordo com as políticas de segurança do </w:t>
      </w:r>
      <w:r w:rsidRPr="008422AB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>, garantindo conformidade e proteção adequada dos dados;</w:t>
      </w:r>
    </w:p>
    <w:p w14:paraId="49258B3A" w14:textId="411D2D5C" w:rsidR="00362954" w:rsidRPr="008422AB" w:rsidRDefault="00822037" w:rsidP="00207DE5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>Preparação de documentação detalhada, incluindo procedimentos operacionais padrão e orientações para os usuários, facilitando a utilização da nova plataforma;</w:t>
      </w:r>
    </w:p>
    <w:p w14:paraId="08448511" w14:textId="64621514" w:rsidR="00E21300" w:rsidRPr="008422AB" w:rsidRDefault="00E21300" w:rsidP="00207DE5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hAnsi="Calibri" w:cs="Calibri"/>
          <w:sz w:val="22"/>
          <w:szCs w:val="22"/>
          <w:lang w:eastAsia="pt-BR"/>
        </w:rPr>
        <w:t>Conduzir uma avaliação pós-migração para garantir que os objetivos foram atingidos e identificar melhoria</w:t>
      </w:r>
      <w:r w:rsidR="00362954" w:rsidRPr="008422AB">
        <w:rPr>
          <w:rFonts w:ascii="Calibri" w:hAnsi="Calibri" w:cs="Calibri"/>
          <w:sz w:val="22"/>
          <w:szCs w:val="22"/>
          <w:lang w:eastAsia="pt-BR"/>
        </w:rPr>
        <w:t>s;</w:t>
      </w:r>
    </w:p>
    <w:p w14:paraId="73BBAA8C" w14:textId="5C788FF6" w:rsidR="00822037" w:rsidRPr="008422AB" w:rsidRDefault="00822037" w:rsidP="00822037">
      <w:pPr>
        <w:pStyle w:val="PargrafodaLista"/>
        <w:numPr>
          <w:ilvl w:val="0"/>
          <w:numId w:val="7"/>
        </w:numPr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>Otimização e Monitoramento contínuo da nova plataforma, ajustando configurações para melhorar o desempenho e a</w:t>
      </w:r>
      <w:r w:rsidR="005E0503" w:rsidRPr="008422AB">
        <w:rPr>
          <w:rFonts w:ascii="Calibri" w:eastAsiaTheme="minorHAnsi" w:hAnsi="Calibri" w:cs="Calibri"/>
          <w:sz w:val="22"/>
          <w:szCs w:val="22"/>
          <w:lang w:eastAsia="en-US"/>
        </w:rPr>
        <w:t xml:space="preserve"> segurança, conforme necessário.</w:t>
      </w:r>
    </w:p>
    <w:p w14:paraId="1FE10FFD" w14:textId="77777777" w:rsidR="00E21300" w:rsidRPr="008422AB" w:rsidRDefault="00E21300" w:rsidP="00207DE5">
      <w:pPr>
        <w:pStyle w:val="PargrafodaLista"/>
        <w:spacing w:line="276" w:lineRule="auto"/>
        <w:ind w:left="36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29ADF86" w14:textId="77777777" w:rsidR="00822037" w:rsidRPr="008422AB" w:rsidRDefault="00822037" w:rsidP="00822037">
      <w:pPr>
        <w:spacing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8422AB">
        <w:rPr>
          <w:rFonts w:ascii="Calibri" w:eastAsiaTheme="minorHAnsi" w:hAnsi="Calibri" w:cs="Calibri"/>
          <w:sz w:val="22"/>
          <w:szCs w:val="22"/>
          <w:lang w:eastAsia="en-US"/>
        </w:rPr>
        <w:t>Nota: Para migração via IMAP, não há suporte para lista de contatos e agendas.</w:t>
      </w:r>
    </w:p>
    <w:p w14:paraId="44F2C2A7" w14:textId="77777777" w:rsidR="00822037" w:rsidRPr="00194001" w:rsidRDefault="00822037" w:rsidP="00207DE5">
      <w:pPr>
        <w:pStyle w:val="Titulo3"/>
      </w:pPr>
      <w:bookmarkStart w:id="45" w:name="_Toc170327022"/>
      <w:r>
        <w:t>Migração Exchange Server</w:t>
      </w:r>
      <w:bookmarkEnd w:id="45"/>
      <w:r>
        <w:t xml:space="preserve"> </w:t>
      </w:r>
    </w:p>
    <w:p w14:paraId="3022581C" w14:textId="77777777" w:rsidR="00822037" w:rsidRDefault="00822037" w:rsidP="00822037">
      <w:pPr>
        <w:spacing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>Com a Migração de e</w:t>
      </w:r>
      <w:r>
        <w:rPr>
          <w:rFonts w:ascii="Calibri" w:eastAsiaTheme="minorHAnsi" w:hAnsi="Calibri"/>
          <w:sz w:val="22"/>
          <w:szCs w:val="22"/>
          <w:lang w:eastAsia="en-US"/>
        </w:rPr>
        <w:t>-</w:t>
      </w:r>
      <w:r w:rsidRPr="00E44EF5">
        <w:rPr>
          <w:rFonts w:ascii="Calibri" w:eastAsiaTheme="minorHAnsi" w:hAnsi="Calibri"/>
          <w:sz w:val="22"/>
          <w:szCs w:val="22"/>
          <w:lang w:eastAsia="en-US"/>
        </w:rPr>
        <w:t>mails, os e</w:t>
      </w:r>
      <w:r>
        <w:rPr>
          <w:rFonts w:ascii="Calibri" w:eastAsiaTheme="minorHAnsi" w:hAnsi="Calibri"/>
          <w:sz w:val="22"/>
          <w:szCs w:val="22"/>
          <w:lang w:eastAsia="en-US"/>
        </w:rPr>
        <w:t>-</w:t>
      </w:r>
      <w:r w:rsidRPr="00E44EF5">
        <w:rPr>
          <w:rFonts w:ascii="Calibri" w:eastAsiaTheme="minorHAnsi" w:hAnsi="Calibri"/>
          <w:sz w:val="22"/>
          <w:szCs w:val="22"/>
          <w:lang w:eastAsia="en-US"/>
        </w:rPr>
        <w:t>mails organizacionais podem ser levados para o serviço do Microsoft 365 e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E44EF5">
        <w:rPr>
          <w:rFonts w:ascii="Calibri" w:eastAsiaTheme="minorHAnsi" w:hAnsi="Calibri"/>
          <w:sz w:val="22"/>
          <w:szCs w:val="22"/>
          <w:lang w:eastAsia="en-US"/>
        </w:rPr>
        <w:t>sendo transferidos do servidor atual como por exemplo Exchange Server, para o seu novo ambiente Microsoft.</w:t>
      </w:r>
      <w:r>
        <w:rPr>
          <w:rFonts w:ascii="Calibri" w:hAnsi="Calibri" w:cs="Calibri"/>
          <w:sz w:val="22"/>
          <w:szCs w:val="22"/>
        </w:rPr>
        <w:t xml:space="preserve"> </w:t>
      </w:r>
      <w:r w:rsidRPr="001C27C4">
        <w:rPr>
          <w:rFonts w:ascii="Calibri" w:hAnsi="Calibri" w:cs="Calibri"/>
          <w:sz w:val="22"/>
          <w:szCs w:val="22"/>
        </w:rPr>
        <w:t xml:space="preserve">Esse recurso se aplica para todos os </w:t>
      </w:r>
      <w:r w:rsidRPr="001C27C4">
        <w:rPr>
          <w:rFonts w:ascii="Calibri" w:hAnsi="Calibri" w:cs="Calibri"/>
          <w:b/>
          <w:sz w:val="22"/>
          <w:szCs w:val="22"/>
        </w:rPr>
        <w:t xml:space="preserve">CLIENTES </w:t>
      </w:r>
      <w:r w:rsidRPr="00E44EF5">
        <w:rPr>
          <w:rFonts w:ascii="Calibri" w:eastAsiaTheme="minorHAnsi" w:hAnsi="Calibri"/>
          <w:sz w:val="22"/>
          <w:szCs w:val="22"/>
          <w:lang w:eastAsia="en-US"/>
        </w:rPr>
        <w:t>que desejam migrar de provedor, sem abandonar os e</w:t>
      </w:r>
      <w:r>
        <w:rPr>
          <w:rFonts w:ascii="Calibri" w:eastAsiaTheme="minorHAnsi" w:hAnsi="Calibri"/>
          <w:sz w:val="22"/>
          <w:szCs w:val="22"/>
          <w:lang w:eastAsia="en-US"/>
        </w:rPr>
        <w:t>-</w:t>
      </w:r>
      <w:r w:rsidRPr="00E44EF5">
        <w:rPr>
          <w:rFonts w:ascii="Calibri" w:eastAsiaTheme="minorHAnsi" w:hAnsi="Calibri"/>
          <w:sz w:val="22"/>
          <w:szCs w:val="22"/>
          <w:lang w:eastAsia="en-US"/>
        </w:rPr>
        <w:t>mails existentes.</w:t>
      </w:r>
    </w:p>
    <w:p w14:paraId="309B030A" w14:textId="77777777" w:rsidR="00822037" w:rsidRPr="00E44EF5" w:rsidRDefault="00822037" w:rsidP="00822037">
      <w:p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b/>
          <w:sz w:val="22"/>
          <w:szCs w:val="22"/>
          <w:lang w:eastAsia="en-US"/>
        </w:rPr>
        <w:t xml:space="preserve">Migração do Exchange Server para o </w:t>
      </w:r>
      <w:r>
        <w:rPr>
          <w:rFonts w:ascii="Calibri" w:eastAsiaTheme="minorHAnsi" w:hAnsi="Calibri"/>
          <w:b/>
          <w:sz w:val="22"/>
          <w:szCs w:val="22"/>
          <w:lang w:eastAsia="en-US"/>
        </w:rPr>
        <w:t>M</w:t>
      </w:r>
      <w:r w:rsidRPr="00E44EF5">
        <w:rPr>
          <w:rFonts w:ascii="Calibri" w:eastAsiaTheme="minorHAnsi" w:hAnsi="Calibri"/>
          <w:b/>
          <w:sz w:val="22"/>
          <w:szCs w:val="22"/>
          <w:lang w:eastAsia="en-US"/>
        </w:rPr>
        <w:t>365:</w:t>
      </w:r>
    </w:p>
    <w:p w14:paraId="45D05A71" w14:textId="77777777" w:rsidR="00822037" w:rsidRPr="00E44EF5" w:rsidRDefault="00822037" w:rsidP="00822037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>Deverá ser tratado como Professional Services onde as seguintes variáveis deverão ser analisadas:</w:t>
      </w:r>
    </w:p>
    <w:p w14:paraId="652A89A6" w14:textId="77777777" w:rsidR="00822037" w:rsidRPr="00E44EF5" w:rsidRDefault="00822037" w:rsidP="00822037">
      <w:pPr>
        <w:pStyle w:val="PargrafodaLista"/>
        <w:numPr>
          <w:ilvl w:val="2"/>
          <w:numId w:val="5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>Solução de correio atual;</w:t>
      </w:r>
    </w:p>
    <w:p w14:paraId="2BEF9506" w14:textId="77777777" w:rsidR="00822037" w:rsidRPr="00E44EF5" w:rsidRDefault="00822037" w:rsidP="00822037">
      <w:pPr>
        <w:pStyle w:val="PargrafodaLista"/>
        <w:numPr>
          <w:ilvl w:val="2"/>
          <w:numId w:val="5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>Integração do serviço de diretório;</w:t>
      </w:r>
    </w:p>
    <w:p w14:paraId="2134DA5A" w14:textId="77777777" w:rsidR="00822037" w:rsidRPr="00E44EF5" w:rsidRDefault="00822037" w:rsidP="00822037">
      <w:pPr>
        <w:pStyle w:val="PargrafodaLista"/>
        <w:numPr>
          <w:ilvl w:val="2"/>
          <w:numId w:val="5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 xml:space="preserve">Detalhamento dos recursos que deverão ser migrados (contas, calendário, contatos, </w:t>
      </w:r>
      <w:proofErr w:type="spellStart"/>
      <w:r w:rsidRPr="00E44EF5">
        <w:rPr>
          <w:rFonts w:ascii="Calibri" w:eastAsiaTheme="minorHAnsi" w:hAnsi="Calibri"/>
          <w:sz w:val="22"/>
          <w:szCs w:val="22"/>
          <w:lang w:eastAsia="en-US"/>
        </w:rPr>
        <w:t>freebusy</w:t>
      </w:r>
      <w:proofErr w:type="spellEnd"/>
      <w:r w:rsidRPr="00E44EF5">
        <w:rPr>
          <w:rFonts w:ascii="Calibri" w:eastAsiaTheme="minorHAnsi" w:hAnsi="Calibri"/>
          <w:sz w:val="22"/>
          <w:szCs w:val="22"/>
          <w:lang w:eastAsia="en-US"/>
        </w:rPr>
        <w:t xml:space="preserve"> de agenda, anotações, etc.);</w:t>
      </w:r>
    </w:p>
    <w:p w14:paraId="03A97A01" w14:textId="77777777" w:rsidR="00822037" w:rsidRPr="00E44EF5" w:rsidRDefault="00822037" w:rsidP="00822037">
      <w:pPr>
        <w:pStyle w:val="PargrafodaLista"/>
        <w:numPr>
          <w:ilvl w:val="2"/>
          <w:numId w:val="5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>Volume de dados;</w:t>
      </w:r>
    </w:p>
    <w:p w14:paraId="17BA1A89" w14:textId="77777777" w:rsidR="00822037" w:rsidRPr="00E44EF5" w:rsidRDefault="00822037" w:rsidP="00822037">
      <w:pPr>
        <w:pStyle w:val="PargrafodaLista"/>
        <w:numPr>
          <w:ilvl w:val="2"/>
          <w:numId w:val="5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 xml:space="preserve">Ferramentas (Exchange, 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>SharePoint, etc.);</w:t>
      </w:r>
    </w:p>
    <w:p w14:paraId="5998A6A6" w14:textId="77777777" w:rsidR="00822037" w:rsidRPr="00E44EF5" w:rsidRDefault="00822037" w:rsidP="00822037">
      <w:pPr>
        <w:pStyle w:val="PargrafodaLista"/>
        <w:numPr>
          <w:ilvl w:val="2"/>
          <w:numId w:val="5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>Utilização de ferramentas de migração.</w:t>
      </w:r>
    </w:p>
    <w:p w14:paraId="503E26F0" w14:textId="77777777" w:rsidR="00822037" w:rsidRPr="00E44EF5" w:rsidRDefault="00822037" w:rsidP="00822037">
      <w:pPr>
        <w:spacing w:line="276" w:lineRule="auto"/>
        <w:jc w:val="left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>Nota: A migração de serviços não Microsoft não é realizada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pela</w:t>
      </w:r>
      <w:r w:rsidRPr="00E44EF5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Pr="00E44EF5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E44EF5">
        <w:rPr>
          <w:rFonts w:ascii="Calibri" w:eastAsiaTheme="minorHAnsi" w:hAnsi="Calibri"/>
          <w:sz w:val="22"/>
          <w:szCs w:val="22"/>
          <w:lang w:eastAsia="en-US"/>
        </w:rPr>
        <w:t xml:space="preserve">, ela deve ser contratada pelo </w:t>
      </w:r>
      <w:r w:rsidRPr="00E44EF5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44EF5">
        <w:rPr>
          <w:rFonts w:ascii="Calibri" w:eastAsiaTheme="minorHAnsi" w:hAnsi="Calibri"/>
          <w:sz w:val="22"/>
          <w:szCs w:val="22"/>
          <w:lang w:eastAsia="en-US"/>
        </w:rPr>
        <w:t xml:space="preserve"> junto a um parceiro.</w:t>
      </w:r>
    </w:p>
    <w:p w14:paraId="7B68AFF5" w14:textId="77777777" w:rsidR="00822037" w:rsidRPr="00E44EF5" w:rsidRDefault="00822037" w:rsidP="00822037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E44EF5">
        <w:rPr>
          <w:rFonts w:ascii="Calibri" w:eastAsiaTheme="minorHAnsi" w:hAnsi="Calibri"/>
          <w:sz w:val="22"/>
          <w:szCs w:val="22"/>
          <w:lang w:eastAsia="en-US"/>
        </w:rPr>
        <w:t>Etapas do processo:</w:t>
      </w:r>
    </w:p>
    <w:p w14:paraId="7A3343FC" w14:textId="77777777" w:rsidR="00822037" w:rsidRPr="00E44EF5" w:rsidRDefault="00822037" w:rsidP="00822037">
      <w:pPr>
        <w:spacing w:after="160"/>
        <w:jc w:val="center"/>
        <w:rPr>
          <w:rFonts w:ascii="Calibri" w:eastAsiaTheme="minorHAnsi" w:hAnsi="Calibri"/>
          <w:sz w:val="22"/>
          <w:szCs w:val="22"/>
          <w:lang w:eastAsia="en-US"/>
        </w:rPr>
      </w:pPr>
      <w:r w:rsidRPr="004B42C3">
        <w:rPr>
          <w:rFonts w:ascii="Calibri" w:eastAsiaTheme="minorHAnsi" w:hAnsi="Calibri"/>
          <w:noProof/>
          <w:sz w:val="22"/>
          <w:szCs w:val="22"/>
          <w:lang w:eastAsia="pt-BR"/>
        </w:rPr>
        <w:drawing>
          <wp:inline distT="0" distB="0" distL="0" distR="0" wp14:anchorId="1BC40FAA" wp14:editId="4B999CA3">
            <wp:extent cx="5089085" cy="392501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14" cy="393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5BFB" w14:textId="05B34352" w:rsidR="00DE0BB1" w:rsidRPr="00CE32FE" w:rsidRDefault="00DA1FB6" w:rsidP="00F60DE3">
      <w:pPr>
        <w:pStyle w:val="Titulo2"/>
      </w:pPr>
      <w:bookmarkStart w:id="46" w:name="_Toc153297282"/>
      <w:bookmarkStart w:id="47" w:name="_Toc153297284"/>
      <w:bookmarkStart w:id="48" w:name="_Toc153297286"/>
      <w:bookmarkStart w:id="49" w:name="_Toc153297288"/>
      <w:bookmarkStart w:id="50" w:name="_Toc153297290"/>
      <w:bookmarkStart w:id="51" w:name="_Toc153297292"/>
      <w:bookmarkStart w:id="52" w:name="_Toc153297294"/>
      <w:bookmarkStart w:id="53" w:name="_Toc153297295"/>
      <w:bookmarkStart w:id="54" w:name="_Toc153297296"/>
      <w:bookmarkStart w:id="55" w:name="_Toc153297298"/>
      <w:bookmarkStart w:id="56" w:name="_Toc153297300"/>
      <w:bookmarkStart w:id="57" w:name="_Toc153297302"/>
      <w:bookmarkStart w:id="58" w:name="_Toc153297304"/>
      <w:bookmarkStart w:id="59" w:name="_Toc153297306"/>
      <w:bookmarkStart w:id="60" w:name="_Toc153297308"/>
      <w:bookmarkStart w:id="61" w:name="_Toc153297309"/>
      <w:bookmarkStart w:id="62" w:name="_Toc153297311"/>
      <w:bookmarkStart w:id="63" w:name="_Toc153297312"/>
      <w:bookmarkStart w:id="64" w:name="_Toc153297313"/>
      <w:bookmarkStart w:id="65" w:name="_Toc153297317"/>
      <w:bookmarkStart w:id="66" w:name="_Toc153297318"/>
      <w:bookmarkStart w:id="67" w:name="_Toc153297319"/>
      <w:bookmarkStart w:id="68" w:name="_Toc150263392"/>
      <w:bookmarkStart w:id="69" w:name="_Toc153297320"/>
      <w:bookmarkStart w:id="70" w:name="_Toc149667111"/>
      <w:bookmarkStart w:id="71" w:name="_Toc150263393"/>
      <w:bookmarkStart w:id="72" w:name="_Toc153297321"/>
      <w:bookmarkStart w:id="73" w:name="_Toc150263394"/>
      <w:bookmarkStart w:id="74" w:name="_Toc153297322"/>
      <w:bookmarkStart w:id="75" w:name="_Toc150263395"/>
      <w:bookmarkStart w:id="76" w:name="_Toc153297323"/>
      <w:bookmarkStart w:id="77" w:name="_Toc150263396"/>
      <w:bookmarkStart w:id="78" w:name="_Toc153297324"/>
      <w:bookmarkStart w:id="79" w:name="_Toc150263397"/>
      <w:bookmarkStart w:id="80" w:name="_Toc153297325"/>
      <w:bookmarkStart w:id="81" w:name="_Toc150263398"/>
      <w:bookmarkStart w:id="82" w:name="_Toc153297326"/>
      <w:bookmarkStart w:id="83" w:name="_Toc150263399"/>
      <w:bookmarkStart w:id="84" w:name="_Toc153297327"/>
      <w:bookmarkStart w:id="85" w:name="_Toc150263400"/>
      <w:bookmarkStart w:id="86" w:name="_Toc153297328"/>
      <w:bookmarkStart w:id="87" w:name="_Toc150263401"/>
      <w:bookmarkStart w:id="88" w:name="_Toc153297329"/>
      <w:bookmarkStart w:id="89" w:name="_Toc170327023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>
        <w:t>Instalação e Configuração do Ambiente</w:t>
      </w:r>
      <w:bookmarkEnd w:id="89"/>
    </w:p>
    <w:p w14:paraId="5474F0EE" w14:textId="791D58CB" w:rsidR="00DE0BB1" w:rsidRPr="00207DE5" w:rsidRDefault="00DE0BB1" w:rsidP="004775A2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Ativação do contrato </w:t>
      </w:r>
      <w:r w:rsidR="009E6E93" w:rsidRPr="00207DE5">
        <w:rPr>
          <w:rFonts w:ascii="Calibri" w:eastAsiaTheme="minorHAnsi" w:hAnsi="Calibri"/>
          <w:sz w:val="22"/>
          <w:szCs w:val="22"/>
          <w:lang w:eastAsia="en-US"/>
        </w:rPr>
        <w:t>do P</w:t>
      </w:r>
      <w:r w:rsidR="002E3993" w:rsidRPr="00207DE5">
        <w:rPr>
          <w:rFonts w:ascii="Calibri" w:eastAsiaTheme="minorHAnsi" w:hAnsi="Calibri"/>
          <w:sz w:val="22"/>
          <w:szCs w:val="22"/>
          <w:lang w:eastAsia="en-US"/>
        </w:rPr>
        <w:t>arceiro;</w:t>
      </w:r>
    </w:p>
    <w:p w14:paraId="67F415BE" w14:textId="3F6EA27B" w:rsidR="00DE0BB1" w:rsidRPr="00207DE5" w:rsidRDefault="00DE0BB1" w:rsidP="004775A2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Criação de </w:t>
      </w:r>
      <w:proofErr w:type="spellStart"/>
      <w:r w:rsidRPr="00207DE5">
        <w:rPr>
          <w:rFonts w:ascii="Calibri" w:eastAsiaTheme="minorHAnsi" w:hAnsi="Calibri"/>
          <w:sz w:val="22"/>
          <w:szCs w:val="22"/>
          <w:lang w:eastAsia="en-US"/>
        </w:rPr>
        <w:t>Tenant</w:t>
      </w:r>
      <w:proofErr w:type="spellEnd"/>
      <w:r w:rsidR="00A40735" w:rsidRPr="00207DE5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9F2FAE9" w14:textId="584CC69C" w:rsidR="00DE0BB1" w:rsidRPr="00207DE5" w:rsidRDefault="00DE0BB1" w:rsidP="004775A2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Criação de usuários</w:t>
      </w:r>
      <w:r w:rsidR="00A40735" w:rsidRPr="00207DE5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19906ACE" w14:textId="542EE65E" w:rsidR="00DE0BB1" w:rsidRPr="00207DE5" w:rsidRDefault="00DE0BB1" w:rsidP="004775A2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Ativação de </w:t>
      </w:r>
      <w:r w:rsidR="00A80BF4" w:rsidRPr="00CE32FE">
        <w:rPr>
          <w:rFonts w:ascii="Calibri" w:eastAsiaTheme="minorHAnsi" w:hAnsi="Calibri"/>
          <w:sz w:val="22"/>
          <w:szCs w:val="22"/>
          <w:lang w:eastAsia="en-US"/>
        </w:rPr>
        <w:t>e-mail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corporativo</w:t>
      </w:r>
      <w:r w:rsidR="009E6E93" w:rsidRPr="00207DE5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0555C9F1" w14:textId="3BADC649" w:rsidR="00B41D8E" w:rsidRDefault="00B41D8E" w:rsidP="004775A2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Caixa compartilhadas</w:t>
      </w:r>
      <w:r w:rsidR="00A80BF4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149CA7E1" w14:textId="11BD3B81" w:rsidR="001878DA" w:rsidRDefault="001878DA" w:rsidP="004775A2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Migração das caixas postais para a nova solução</w:t>
      </w:r>
      <w:r w:rsidR="005E0503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4C674817" w14:textId="15E5B4DE" w:rsidR="00DA1FB6" w:rsidRPr="00CE32FE" w:rsidRDefault="00DA1FB6" w:rsidP="00F60DE3">
      <w:pPr>
        <w:pStyle w:val="Titulo2"/>
      </w:pPr>
      <w:bookmarkStart w:id="90" w:name="_Toc170327024"/>
      <w:r w:rsidRPr="00CE32FE">
        <w:t>Administração</w:t>
      </w:r>
      <w:r>
        <w:t xml:space="preserve"> do Ambiente</w:t>
      </w:r>
      <w:bookmarkEnd w:id="90"/>
    </w:p>
    <w:p w14:paraId="6BF2FB7A" w14:textId="77777777" w:rsidR="001878DA" w:rsidRPr="00207DE5" w:rsidRDefault="001878DA" w:rsidP="00207DE5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Gerenciamento de Usuários:</w:t>
      </w:r>
    </w:p>
    <w:p w14:paraId="00618E2D" w14:textId="26488BC7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Criação, modificação e exclusão de contas de usuário</w:t>
      </w:r>
      <w:r w:rsidR="00162135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399814C9" w14:textId="48270CC9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Atribuição de licenças adequadas a usuários com base em suas necessidades</w:t>
      </w:r>
      <w:r w:rsidR="00162135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1A6244F4" w14:textId="77777777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Controle de acesso e permissões para diferentes usuários e grupos.</w:t>
      </w:r>
    </w:p>
    <w:p w14:paraId="4FE554F8" w14:textId="3A0548BC" w:rsidR="001878DA" w:rsidRPr="00207DE5" w:rsidRDefault="001878DA" w:rsidP="00207DE5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Configuração e Manutenção de E-mails:</w:t>
      </w:r>
    </w:p>
    <w:p w14:paraId="2BF98CCE" w14:textId="1D225D67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Administração do Exchange Online para gerenciar caixas de correio</w:t>
      </w:r>
      <w:r w:rsidR="00162135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1F9B8518" w14:textId="4A65FEDA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Configuração de políticas de retenção de e-mails</w:t>
      </w:r>
      <w:r w:rsidR="00162135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2C4D9D6C" w14:textId="77777777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Tratamento de problemas relacionados a e-mails, como entregas atrasadas ou falhas.</w:t>
      </w:r>
    </w:p>
    <w:p w14:paraId="78F420CD" w14:textId="79596C7A" w:rsidR="001878DA" w:rsidRPr="00207DE5" w:rsidRDefault="001878DA" w:rsidP="00207DE5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Colaboração e Compartilhamento de Documentos:</w:t>
      </w:r>
    </w:p>
    <w:p w14:paraId="489B4E2F" w14:textId="45EEC125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Configuração e gerenciamento do SharePoint Online para colaboração e compartilhamento de documentos</w:t>
      </w:r>
      <w:r w:rsidR="00162135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091348B4" w14:textId="73747B02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Controle de versões e permissões de documentos</w:t>
      </w:r>
      <w:r w:rsidR="00162135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43D8DCE2" w14:textId="77777777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Implementação de práticas de segurança para garantir o acesso apropriado aos dados.</w:t>
      </w:r>
    </w:p>
    <w:p w14:paraId="6F4BD77A" w14:textId="4D9EFFA9" w:rsidR="001878DA" w:rsidRPr="00207DE5" w:rsidRDefault="001878DA" w:rsidP="00207DE5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 xml:space="preserve">Microsoft </w:t>
      </w:r>
      <w:proofErr w:type="spellStart"/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Teams</w:t>
      </w:r>
      <w:proofErr w:type="spellEnd"/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:</w:t>
      </w:r>
    </w:p>
    <w:p w14:paraId="4B9659A2" w14:textId="56A0025F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Configuração e administração de comunicações unificadas, incluindo videoconferências e mensagens instantâneas</w:t>
      </w:r>
      <w:r w:rsidR="00162135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61F96E7F" w14:textId="77777777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Gerenciamento de políticas de segurança e conformidade para chamadas e reuniões online.</w:t>
      </w:r>
    </w:p>
    <w:p w14:paraId="583CEC57" w14:textId="10839E2C" w:rsidR="001878DA" w:rsidRPr="00207DE5" w:rsidRDefault="000B7134" w:rsidP="00207DE5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Segurança e Conformidade:</w:t>
      </w:r>
    </w:p>
    <w:p w14:paraId="3443BC98" w14:textId="5387E016" w:rsidR="001878DA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Implementação e monitoramento de políticas de segurança</w:t>
      </w:r>
      <w:r w:rsidR="00162135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5E2EEECC" w14:textId="29DAE988" w:rsidR="00162135" w:rsidRPr="00207DE5" w:rsidRDefault="001878DA" w:rsidP="00207DE5">
      <w:pPr>
        <w:pStyle w:val="PargrafodaLista"/>
        <w:numPr>
          <w:ilvl w:val="0"/>
          <w:numId w:val="4"/>
        </w:numPr>
        <w:spacing w:after="160"/>
        <w:rPr>
          <w:rFonts w:ascii="Calibri" w:eastAsiaTheme="minorHAnsi" w:hAnsi="Calibri"/>
          <w:b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Suporte</w:t>
      </w:r>
      <w:r w:rsidR="00162135">
        <w:rPr>
          <w:rFonts w:ascii="Calibri" w:eastAsiaTheme="minorHAnsi" w:hAnsi="Calibri"/>
          <w:b/>
          <w:sz w:val="22"/>
          <w:szCs w:val="22"/>
          <w:lang w:eastAsia="en-US"/>
        </w:rPr>
        <w:t xml:space="preserve"> </w:t>
      </w:r>
      <w:r w:rsidR="00162135" w:rsidRPr="00207DE5">
        <w:rPr>
          <w:rFonts w:ascii="Calibri" w:eastAsiaTheme="minorHAnsi" w:hAnsi="Calibri"/>
          <w:sz w:val="22"/>
          <w:szCs w:val="22"/>
          <w:lang w:eastAsia="en-US"/>
        </w:rPr>
        <w:t>(Usuário final está fora de escopo)</w:t>
      </w:r>
    </w:p>
    <w:p w14:paraId="55C322DC" w14:textId="2DCACC08" w:rsidR="000B7134" w:rsidRPr="00207DE5" w:rsidRDefault="001878DA" w:rsidP="00207DE5">
      <w:pPr>
        <w:pStyle w:val="PargrafodaLista"/>
        <w:numPr>
          <w:ilvl w:val="1"/>
          <w:numId w:val="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noProof/>
          <w:sz w:val="22"/>
          <w:szCs w:val="22"/>
          <w:lang w:eastAsia="en-US"/>
        </w:rPr>
        <w:t>Oferecimento de suporte técnico para problemas relacionados</w:t>
      </w:r>
      <w:r w:rsidR="0016213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ferramenta de colaboração</w:t>
      </w:r>
      <w:r w:rsidR="00F9457D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7F4A176C" w14:textId="019557D6" w:rsidR="00F87A71" w:rsidRPr="00CE32FE" w:rsidRDefault="00BA4730" w:rsidP="00A40735">
      <w:pPr>
        <w:pStyle w:val="Titulo1"/>
      </w:pPr>
      <w:bookmarkStart w:id="91" w:name="_Toc153297333"/>
      <w:bookmarkStart w:id="92" w:name="_Toc153297334"/>
      <w:bookmarkStart w:id="93" w:name="_Toc153297337"/>
      <w:bookmarkStart w:id="94" w:name="_Toc150263405"/>
      <w:bookmarkStart w:id="95" w:name="_Toc153297338"/>
      <w:bookmarkStart w:id="96" w:name="_Toc153297339"/>
      <w:bookmarkStart w:id="97" w:name="_Toc153297340"/>
      <w:bookmarkStart w:id="98" w:name="_Toc153297341"/>
      <w:bookmarkStart w:id="99" w:name="_Toc153297342"/>
      <w:bookmarkStart w:id="100" w:name="_Toc153297343"/>
      <w:bookmarkStart w:id="101" w:name="_Toc153297344"/>
      <w:bookmarkStart w:id="102" w:name="_Toc153297345"/>
      <w:bookmarkStart w:id="103" w:name="_Toc153297346"/>
      <w:bookmarkStart w:id="104" w:name="_Toc153297348"/>
      <w:bookmarkStart w:id="105" w:name="_Toc153297349"/>
      <w:bookmarkStart w:id="106" w:name="_Toc153297350"/>
      <w:bookmarkStart w:id="107" w:name="_Toc153297351"/>
      <w:bookmarkStart w:id="108" w:name="_Toc153297352"/>
      <w:bookmarkStart w:id="109" w:name="_Toc153297353"/>
      <w:bookmarkStart w:id="110" w:name="_Toc153297354"/>
      <w:bookmarkStart w:id="111" w:name="_Toc153297355"/>
      <w:bookmarkStart w:id="112" w:name="_Toc153297358"/>
      <w:bookmarkStart w:id="113" w:name="_Toc153297359"/>
      <w:bookmarkStart w:id="114" w:name="_Toc153297362"/>
      <w:bookmarkStart w:id="115" w:name="_Toc153297365"/>
      <w:bookmarkStart w:id="116" w:name="_Toc150263407"/>
      <w:bookmarkStart w:id="117" w:name="_Toc153297366"/>
      <w:bookmarkStart w:id="118" w:name="_Toc170327025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 w:rsidRPr="00CE32FE">
        <w:t>Ofertas</w:t>
      </w:r>
      <w:bookmarkEnd w:id="118"/>
    </w:p>
    <w:p w14:paraId="5AC8B8C8" w14:textId="07145DFF" w:rsidR="00DE0BB1" w:rsidRDefault="00DE0BB1" w:rsidP="006533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O </w:t>
      </w:r>
      <w:r w:rsidR="00107C44" w:rsidRPr="00207DE5">
        <w:rPr>
          <w:rFonts w:ascii="Calibri" w:eastAsiaTheme="minorHAnsi" w:hAnsi="Calibri"/>
          <w:sz w:val="22"/>
          <w:szCs w:val="22"/>
          <w:lang w:eastAsia="en-US"/>
        </w:rPr>
        <w:t xml:space="preserve">Professional Services </w:t>
      </w:r>
      <w:r w:rsidR="00DA2E2E">
        <w:rPr>
          <w:rFonts w:ascii="Calibri" w:eastAsiaTheme="minorHAnsi" w:hAnsi="Calibri"/>
          <w:sz w:val="22"/>
          <w:szCs w:val="22"/>
          <w:lang w:eastAsia="en-US"/>
        </w:rPr>
        <w:t>de Colaboração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pode ser ofertado através das seguintes opções: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7088"/>
      </w:tblGrid>
      <w:tr w:rsidR="00EE0DEC" w14:paraId="0B237E1B" w14:textId="77777777" w:rsidTr="00EE0DEC">
        <w:trPr>
          <w:trHeight w:val="730"/>
        </w:trPr>
        <w:tc>
          <w:tcPr>
            <w:tcW w:w="2972" w:type="dxa"/>
            <w:vAlign w:val="center"/>
          </w:tcPr>
          <w:p w14:paraId="6F1FACB7" w14:textId="6C722C01" w:rsidR="00EE0DEC" w:rsidRPr="00EE0DEC" w:rsidRDefault="00EE0DEC" w:rsidP="00EE0DEC">
            <w:pPr>
              <w:spacing w:after="16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EE0DEC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Licenciamento de Software</w:t>
            </w:r>
          </w:p>
        </w:tc>
        <w:tc>
          <w:tcPr>
            <w:tcW w:w="7088" w:type="dxa"/>
            <w:vAlign w:val="center"/>
          </w:tcPr>
          <w:p w14:paraId="2D31E144" w14:textId="0403FB06" w:rsidR="00EE0DEC" w:rsidRPr="00EE0DEC" w:rsidRDefault="00EE0DEC" w:rsidP="00476883">
            <w:pPr>
              <w:pStyle w:val="PargrafodaLista"/>
              <w:numPr>
                <w:ilvl w:val="0"/>
                <w:numId w:val="32"/>
              </w:numPr>
              <w:spacing w:after="16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EE0DEC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Licenciamento </w:t>
            </w:r>
            <w:r w:rsidR="00476883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pode ser </w:t>
            </w:r>
            <w:r w:rsidRPr="00EE0DEC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fornecido pela </w:t>
            </w:r>
            <w:r w:rsidRPr="00EE0DEC">
              <w:rPr>
                <w:rFonts w:asciiTheme="majorHAnsi" w:eastAsiaTheme="minorHAnsi" w:hAnsiTheme="majorHAnsi" w:cstheme="majorHAnsi"/>
                <w:b/>
                <w:sz w:val="22"/>
                <w:szCs w:val="22"/>
                <w:lang w:eastAsia="en-US"/>
              </w:rPr>
              <w:t>SONDA</w:t>
            </w:r>
            <w:r w:rsidRPr="00EE0DEC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ou n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ão. </w:t>
            </w:r>
          </w:p>
        </w:tc>
      </w:tr>
      <w:tr w:rsidR="009B2097" w14:paraId="67440230" w14:textId="77777777" w:rsidTr="00EE0DEC">
        <w:tc>
          <w:tcPr>
            <w:tcW w:w="2972" w:type="dxa"/>
            <w:vAlign w:val="center"/>
          </w:tcPr>
          <w:p w14:paraId="6BA97B17" w14:textId="23806AF3" w:rsidR="009B2097" w:rsidRPr="00EE0DEC" w:rsidRDefault="009B2097" w:rsidP="00EE0DEC">
            <w:pPr>
              <w:spacing w:after="16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EE0DEC">
              <w:rPr>
                <w:rFonts w:asciiTheme="majorHAnsi" w:hAnsiTheme="majorHAnsi" w:cstheme="majorHAnsi"/>
              </w:rPr>
              <w:t>Migração de E-mail</w:t>
            </w:r>
          </w:p>
        </w:tc>
        <w:tc>
          <w:tcPr>
            <w:tcW w:w="7088" w:type="dxa"/>
            <w:vMerge w:val="restart"/>
            <w:vAlign w:val="center"/>
          </w:tcPr>
          <w:p w14:paraId="36D14C77" w14:textId="52A58C61" w:rsidR="009B2097" w:rsidRPr="00476883" w:rsidRDefault="00476883" w:rsidP="00476883">
            <w:pPr>
              <w:pStyle w:val="PargrafodaLista"/>
              <w:numPr>
                <w:ilvl w:val="0"/>
                <w:numId w:val="32"/>
              </w:numPr>
              <w:spacing w:after="16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A oferta consiste na execução de todas as atividades contidas no escopo dos serviços de </w:t>
            </w:r>
            <w:r w:rsidR="009B2097" w:rsidRPr="00476883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Migração do ambiente atual para ambiente </w:t>
            </w:r>
            <w:r w:rsidR="009B2097" w:rsidRPr="00476883">
              <w:rPr>
                <w:rFonts w:asciiTheme="majorHAnsi" w:eastAsiaTheme="minorHAnsi" w:hAnsiTheme="majorHAnsi" w:cstheme="majorHAnsi"/>
                <w:b/>
                <w:sz w:val="22"/>
                <w:szCs w:val="22"/>
                <w:lang w:eastAsia="en-US"/>
              </w:rPr>
              <w:t>SONDA</w:t>
            </w:r>
            <w:r>
              <w:rPr>
                <w:rFonts w:asciiTheme="majorHAnsi" w:eastAsiaTheme="minorHAnsi" w:hAnsiTheme="majorHAnsi" w:cstheme="majorHAnsi"/>
                <w:b/>
                <w:sz w:val="22"/>
                <w:szCs w:val="22"/>
                <w:lang w:eastAsia="en-US"/>
              </w:rPr>
              <w:t xml:space="preserve">, </w:t>
            </w:r>
            <w:r w:rsidRPr="00476883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Instalação, Configuração e Administração</w:t>
            </w:r>
            <w:r w:rsidR="00494A30" w:rsidRPr="00476883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;</w:t>
            </w:r>
          </w:p>
          <w:p w14:paraId="5FE424C7" w14:textId="74018733" w:rsidR="009B2097" w:rsidRPr="00EE0DEC" w:rsidRDefault="00476883" w:rsidP="00476883">
            <w:pPr>
              <w:pStyle w:val="PargrafodaLista"/>
              <w:numPr>
                <w:ilvl w:val="0"/>
                <w:numId w:val="32"/>
              </w:numPr>
              <w:spacing w:after="16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Caso o </w:t>
            </w:r>
            <w:r w:rsidRPr="00476883">
              <w:rPr>
                <w:rFonts w:asciiTheme="majorHAnsi" w:eastAsiaTheme="minorHAnsi" w:hAnsiTheme="majorHAnsi" w:cstheme="majorHAnsi"/>
                <w:b/>
                <w:sz w:val="22"/>
                <w:szCs w:val="22"/>
                <w:lang w:eastAsia="en-US"/>
              </w:rPr>
              <w:t>CLIENTE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já possua o licenciamento, será necess</w:t>
            </w:r>
            <w:r w:rsidR="008B494D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ário o processo de</w:t>
            </w: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 v</w:t>
            </w:r>
            <w:r w:rsidR="009B2097" w:rsidRPr="00EE0DEC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inculação das licenças junto ao contrato de parceria da </w:t>
            </w:r>
            <w:r w:rsidR="009B2097" w:rsidRPr="008B494D">
              <w:rPr>
                <w:rFonts w:asciiTheme="majorHAnsi" w:eastAsiaTheme="minorHAnsi" w:hAnsiTheme="majorHAnsi" w:cstheme="majorHAnsi"/>
                <w:b/>
                <w:sz w:val="22"/>
                <w:szCs w:val="22"/>
                <w:lang w:eastAsia="en-US"/>
              </w:rPr>
              <w:t>SONDA</w:t>
            </w:r>
            <w:r w:rsidR="008B494D">
              <w:rPr>
                <w:rFonts w:asciiTheme="majorHAnsi" w:eastAsiaTheme="minorHAnsi" w:hAnsiTheme="majorHAnsi" w:cstheme="majorHAns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9B2097" w14:paraId="04F24BAB" w14:textId="77777777" w:rsidTr="00EE0DEC">
        <w:tc>
          <w:tcPr>
            <w:tcW w:w="2972" w:type="dxa"/>
            <w:vAlign w:val="center"/>
          </w:tcPr>
          <w:p w14:paraId="3714E7E5" w14:textId="1093AEBE" w:rsidR="009B2097" w:rsidRPr="00EE0DEC" w:rsidRDefault="009B2097" w:rsidP="00EE0DEC">
            <w:pPr>
              <w:spacing w:after="16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EE0DEC">
              <w:rPr>
                <w:rFonts w:asciiTheme="majorHAnsi" w:hAnsiTheme="majorHAnsi" w:cstheme="majorHAnsi"/>
              </w:rPr>
              <w:t>Instalação e Configuração do Ambiente</w:t>
            </w:r>
          </w:p>
        </w:tc>
        <w:tc>
          <w:tcPr>
            <w:tcW w:w="7088" w:type="dxa"/>
            <w:vMerge/>
            <w:vAlign w:val="center"/>
          </w:tcPr>
          <w:p w14:paraId="38110AB8" w14:textId="0CA366EC" w:rsidR="009B2097" w:rsidRPr="00EE0DEC" w:rsidRDefault="009B2097" w:rsidP="00EE0DEC">
            <w:pPr>
              <w:spacing w:after="160"/>
              <w:jc w:val="left"/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</w:p>
        </w:tc>
      </w:tr>
      <w:tr w:rsidR="009B2097" w14:paraId="6F1BE218" w14:textId="77777777" w:rsidTr="00374156">
        <w:trPr>
          <w:trHeight w:val="189"/>
        </w:trPr>
        <w:tc>
          <w:tcPr>
            <w:tcW w:w="2972" w:type="dxa"/>
            <w:vAlign w:val="center"/>
          </w:tcPr>
          <w:p w14:paraId="510A20FD" w14:textId="12C47297" w:rsidR="009B2097" w:rsidRPr="00EE0DEC" w:rsidRDefault="009B2097" w:rsidP="00EE0DEC">
            <w:pPr>
              <w:spacing w:after="160"/>
              <w:jc w:val="left"/>
              <w:rPr>
                <w:rFonts w:asciiTheme="majorHAnsi" w:hAnsiTheme="majorHAnsi" w:cstheme="majorHAnsi"/>
              </w:rPr>
            </w:pPr>
            <w:r w:rsidRPr="00EE0DEC">
              <w:rPr>
                <w:rFonts w:asciiTheme="majorHAnsi" w:hAnsiTheme="majorHAnsi" w:cstheme="majorHAnsi"/>
              </w:rPr>
              <w:t>Administração do Ambiente</w:t>
            </w:r>
          </w:p>
        </w:tc>
        <w:tc>
          <w:tcPr>
            <w:tcW w:w="7088" w:type="dxa"/>
            <w:vMerge/>
            <w:vAlign w:val="center"/>
          </w:tcPr>
          <w:p w14:paraId="0CA06999" w14:textId="77777777" w:rsidR="009B2097" w:rsidRPr="00EE0DEC" w:rsidRDefault="009B2097" w:rsidP="00EE0DEC">
            <w:pPr>
              <w:spacing w:after="160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00382C06" w14:textId="0F86D14F" w:rsidR="00F9457D" w:rsidRPr="00207DE5" w:rsidRDefault="00A34D79" w:rsidP="00207DE5">
      <w:pPr>
        <w:pStyle w:val="Titulo1"/>
        <w:rPr>
          <w:rFonts w:eastAsiaTheme="minorHAnsi"/>
          <w:sz w:val="22"/>
          <w:szCs w:val="22"/>
          <w:lang w:eastAsia="en-US"/>
        </w:rPr>
      </w:pPr>
      <w:bookmarkStart w:id="119" w:name="_Toc150263409"/>
      <w:bookmarkStart w:id="120" w:name="_Toc153297368"/>
      <w:bookmarkStart w:id="121" w:name="_Toc170327026"/>
      <w:bookmarkEnd w:id="7"/>
      <w:bookmarkEnd w:id="119"/>
      <w:bookmarkEnd w:id="120"/>
      <w:r w:rsidRPr="00CE32FE">
        <w:t>Premissas e Requisitos</w:t>
      </w:r>
      <w:bookmarkEnd w:id="121"/>
    </w:p>
    <w:p w14:paraId="743882A0" w14:textId="49D47436" w:rsidR="00DE0BB1" w:rsidRPr="00207DE5" w:rsidRDefault="007E58F8" w:rsidP="004775A2">
      <w:pPr>
        <w:pStyle w:val="PargrafodaLista"/>
        <w:numPr>
          <w:ilvl w:val="0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O serviço de diretório (</w:t>
      </w:r>
      <w:r w:rsidR="00DE0BB1" w:rsidRPr="00207DE5">
        <w:rPr>
          <w:rFonts w:ascii="Calibri" w:eastAsiaTheme="minorHAnsi" w:hAnsi="Calibri"/>
          <w:sz w:val="22"/>
          <w:szCs w:val="22"/>
          <w:lang w:eastAsia="en-US"/>
        </w:rPr>
        <w:t xml:space="preserve">Active </w:t>
      </w:r>
      <w:proofErr w:type="spellStart"/>
      <w:r w:rsidR="00DE0BB1" w:rsidRPr="00207DE5">
        <w:rPr>
          <w:rFonts w:ascii="Calibri" w:eastAsiaTheme="minorHAnsi" w:hAnsi="Calibri"/>
          <w:sz w:val="22"/>
          <w:szCs w:val="22"/>
          <w:lang w:eastAsia="en-US"/>
        </w:rPr>
        <w:t>Director</w:t>
      </w:r>
      <w:r w:rsidR="002F08CD" w:rsidRPr="00207DE5">
        <w:rPr>
          <w:rFonts w:ascii="Calibri" w:eastAsiaTheme="minorHAnsi" w:hAnsi="Calibri"/>
          <w:sz w:val="22"/>
          <w:szCs w:val="22"/>
          <w:lang w:eastAsia="en-US"/>
        </w:rPr>
        <w:t>y</w:t>
      </w:r>
      <w:proofErr w:type="spellEnd"/>
      <w:r>
        <w:rPr>
          <w:rFonts w:ascii="Calibri" w:eastAsiaTheme="minorHAnsi" w:hAnsi="Calibri"/>
          <w:sz w:val="22"/>
          <w:szCs w:val="22"/>
          <w:lang w:eastAsia="en-US"/>
        </w:rPr>
        <w:t>)</w:t>
      </w:r>
      <w:r w:rsidR="00EF3F24" w:rsidRPr="00207DE5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será / deverá ser </w:t>
      </w:r>
      <w:r w:rsidR="00EF3F24" w:rsidRPr="00207DE5">
        <w:rPr>
          <w:rFonts w:ascii="Calibri" w:eastAsiaTheme="minorHAnsi" w:hAnsi="Calibri"/>
          <w:sz w:val="22"/>
          <w:szCs w:val="22"/>
          <w:lang w:eastAsia="en-US"/>
        </w:rPr>
        <w:t xml:space="preserve">configurado pelo </w:t>
      </w:r>
      <w:r w:rsidR="00EF3F24" w:rsidRPr="00207DE5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="00DE0BB1" w:rsidRPr="00207DE5">
        <w:rPr>
          <w:rFonts w:ascii="Calibri" w:eastAsiaTheme="minorHAnsi" w:hAnsi="Calibri"/>
          <w:sz w:val="22"/>
          <w:szCs w:val="22"/>
          <w:lang w:eastAsia="en-US"/>
        </w:rPr>
        <w:t xml:space="preserve">; </w:t>
      </w:r>
    </w:p>
    <w:p w14:paraId="36F83839" w14:textId="505A7ABE" w:rsidR="00DE0BB1" w:rsidRPr="00207DE5" w:rsidRDefault="00DE0BB1" w:rsidP="004775A2">
      <w:pPr>
        <w:pStyle w:val="PargrafodaLista"/>
        <w:numPr>
          <w:ilvl w:val="0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Contratação do certificado</w:t>
      </w:r>
      <w:r w:rsidR="00EF3F24" w:rsidRPr="00207DE5">
        <w:rPr>
          <w:rFonts w:ascii="Calibri" w:eastAsiaTheme="minorHAnsi" w:hAnsi="Calibri"/>
          <w:sz w:val="22"/>
          <w:szCs w:val="22"/>
          <w:lang w:eastAsia="en-US"/>
        </w:rPr>
        <w:t xml:space="preserve"> digital </w:t>
      </w:r>
      <w:r w:rsidR="007E58F8">
        <w:rPr>
          <w:rFonts w:ascii="Calibri" w:eastAsiaTheme="minorHAnsi" w:hAnsi="Calibri"/>
          <w:sz w:val="22"/>
          <w:szCs w:val="22"/>
          <w:lang w:eastAsia="en-US"/>
        </w:rPr>
        <w:t xml:space="preserve">deve ser realizada </w:t>
      </w:r>
      <w:r w:rsidR="00EF3F24" w:rsidRPr="00207DE5">
        <w:rPr>
          <w:rFonts w:ascii="Calibri" w:eastAsiaTheme="minorHAnsi" w:hAnsi="Calibri"/>
          <w:sz w:val="22"/>
          <w:szCs w:val="22"/>
          <w:lang w:eastAsia="en-US"/>
        </w:rPr>
        <w:t xml:space="preserve">pelo </w:t>
      </w:r>
      <w:r w:rsidR="00EF3F24" w:rsidRPr="00207DE5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; </w:t>
      </w:r>
    </w:p>
    <w:p w14:paraId="6B91C589" w14:textId="00317280" w:rsidR="00DE0BB1" w:rsidRPr="00207DE5" w:rsidRDefault="00DE0BB1" w:rsidP="004775A2">
      <w:pPr>
        <w:pStyle w:val="PargrafodaLista"/>
        <w:numPr>
          <w:ilvl w:val="0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Não está conte</w:t>
      </w:r>
      <w:r w:rsidR="00EF3F24" w:rsidRPr="00207DE5">
        <w:rPr>
          <w:rFonts w:ascii="Calibri" w:eastAsiaTheme="minorHAnsi" w:hAnsi="Calibri"/>
          <w:sz w:val="22"/>
          <w:szCs w:val="22"/>
          <w:lang w:eastAsia="en-US"/>
        </w:rPr>
        <w:t>mplado no escopo deste Serviço:</w:t>
      </w:r>
    </w:p>
    <w:p w14:paraId="52540903" w14:textId="222258E0" w:rsidR="00DE0BB1" w:rsidRPr="00207DE5" w:rsidRDefault="00DE0BB1" w:rsidP="004775A2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Gestão de </w:t>
      </w:r>
      <w:r w:rsidR="007E58F8">
        <w:rPr>
          <w:rFonts w:ascii="Calibri" w:eastAsiaTheme="minorHAnsi" w:hAnsi="Calibri"/>
          <w:sz w:val="22"/>
          <w:szCs w:val="22"/>
          <w:lang w:eastAsia="en-US"/>
        </w:rPr>
        <w:t xml:space="preserve">análise e/ou tratativa de 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>Vulnerabilidade;</w:t>
      </w:r>
    </w:p>
    <w:p w14:paraId="7CEA95D2" w14:textId="57B42A37" w:rsidR="00DE0BB1" w:rsidRPr="00207DE5" w:rsidRDefault="007E58F8" w:rsidP="004775A2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Fornecimento de licença ou suporte à ferramenta de </w:t>
      </w:r>
      <w:r w:rsidR="00DE0BB1" w:rsidRPr="00207DE5">
        <w:rPr>
          <w:rFonts w:ascii="Calibri" w:eastAsiaTheme="minorHAnsi" w:hAnsi="Calibri"/>
          <w:sz w:val="22"/>
          <w:szCs w:val="22"/>
          <w:lang w:eastAsia="en-US"/>
        </w:rPr>
        <w:t>Antivírus;</w:t>
      </w:r>
    </w:p>
    <w:p w14:paraId="4E82A268" w14:textId="465E6F7D" w:rsidR="00DE0BB1" w:rsidRDefault="00DE0BB1" w:rsidP="004775A2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Gestão</w:t>
      </w:r>
      <w:r w:rsidR="007E58F8">
        <w:rPr>
          <w:rFonts w:ascii="Calibri" w:eastAsiaTheme="minorHAnsi" w:hAnsi="Calibri"/>
          <w:sz w:val="22"/>
          <w:szCs w:val="22"/>
          <w:lang w:eastAsia="en-US"/>
        </w:rPr>
        <w:t xml:space="preserve"> e/ou suporte ao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7E58F8">
        <w:rPr>
          <w:rFonts w:ascii="Calibri" w:eastAsiaTheme="minorHAnsi" w:hAnsi="Calibri"/>
          <w:sz w:val="22"/>
          <w:szCs w:val="22"/>
          <w:lang w:eastAsia="en-US"/>
        </w:rPr>
        <w:t xml:space="preserve">Serviço de diretório (Ex.: 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Active </w:t>
      </w:r>
      <w:proofErr w:type="spellStart"/>
      <w:r w:rsidRPr="00207DE5">
        <w:rPr>
          <w:rFonts w:ascii="Calibri" w:eastAsiaTheme="minorHAnsi" w:hAnsi="Calibri"/>
          <w:sz w:val="22"/>
          <w:szCs w:val="22"/>
          <w:lang w:eastAsia="en-US"/>
        </w:rPr>
        <w:t>Director</w:t>
      </w:r>
      <w:r w:rsidR="0030161B" w:rsidRPr="00207DE5">
        <w:rPr>
          <w:rFonts w:ascii="Calibri" w:eastAsiaTheme="minorHAnsi" w:hAnsi="Calibri"/>
          <w:sz w:val="22"/>
          <w:szCs w:val="22"/>
          <w:lang w:eastAsia="en-US"/>
        </w:rPr>
        <w:t>y</w:t>
      </w:r>
      <w:proofErr w:type="spellEnd"/>
      <w:r w:rsidR="007E58F8">
        <w:rPr>
          <w:rFonts w:ascii="Calibri" w:eastAsiaTheme="minorHAnsi" w:hAnsi="Calibri"/>
          <w:sz w:val="22"/>
          <w:szCs w:val="22"/>
          <w:lang w:eastAsia="en-US"/>
        </w:rPr>
        <w:t>)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; </w:t>
      </w:r>
    </w:p>
    <w:p w14:paraId="60564376" w14:textId="36F109AE" w:rsidR="005E0503" w:rsidRPr="00207DE5" w:rsidRDefault="005E0503" w:rsidP="004775A2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Suporte e atendimento ao usuário final</w:t>
      </w:r>
      <w:r w:rsidR="007E58F8">
        <w:rPr>
          <w:rFonts w:ascii="Calibri" w:eastAsiaTheme="minorHAnsi" w:hAnsi="Calibri"/>
          <w:sz w:val="22"/>
          <w:szCs w:val="22"/>
          <w:lang w:eastAsia="en-US"/>
        </w:rPr>
        <w:t xml:space="preserve"> do </w:t>
      </w:r>
      <w:r w:rsidR="007E58F8" w:rsidRPr="00EE0DE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FF64AF8" w14:textId="6EAEB1F4" w:rsidR="00A34D79" w:rsidRDefault="007E58F8" w:rsidP="004775A2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Instalação, </w:t>
      </w:r>
      <w:r w:rsidR="00DE0BB1" w:rsidRPr="00207DE5">
        <w:rPr>
          <w:rFonts w:ascii="Calibri" w:eastAsiaTheme="minorHAnsi" w:hAnsi="Calibri"/>
          <w:sz w:val="22"/>
          <w:szCs w:val="22"/>
          <w:lang w:eastAsia="en-US"/>
        </w:rPr>
        <w:t xml:space="preserve">Configuração 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ou suporte ao serviço de resolução de </w:t>
      </w:r>
      <w:proofErr w:type="spellStart"/>
      <w:proofErr w:type="gramStart"/>
      <w:r>
        <w:rPr>
          <w:rFonts w:ascii="Calibri" w:eastAsiaTheme="minorHAnsi" w:hAnsi="Calibri"/>
          <w:sz w:val="22"/>
          <w:szCs w:val="22"/>
          <w:lang w:eastAsia="en-US"/>
        </w:rPr>
        <w:t>nomes:</w:t>
      </w:r>
      <w:r w:rsidR="00DE0BB1" w:rsidRPr="00207DE5">
        <w:rPr>
          <w:rFonts w:ascii="Calibri" w:eastAsiaTheme="minorHAnsi" w:hAnsi="Calibri"/>
          <w:sz w:val="22"/>
          <w:szCs w:val="22"/>
          <w:lang w:eastAsia="en-US"/>
        </w:rPr>
        <w:t>DNS</w:t>
      </w:r>
      <w:proofErr w:type="spellEnd"/>
      <w:proofErr w:type="gramEnd"/>
      <w:r w:rsidR="00DE0BB1" w:rsidRPr="00207DE5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2D4CA5BD" w14:textId="30988BCB" w:rsidR="005E0503" w:rsidRPr="00207DE5" w:rsidRDefault="005E0503" w:rsidP="00207DE5">
      <w:pPr>
        <w:pStyle w:val="PargrafodaLista"/>
        <w:numPr>
          <w:ilvl w:val="0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Para a migração de e-mails é necessário</w:t>
      </w:r>
      <w:r w:rsidR="007E58F8">
        <w:rPr>
          <w:rFonts w:ascii="Calibri" w:eastAsiaTheme="minorHAnsi" w:hAnsi="Calibri"/>
          <w:sz w:val="22"/>
          <w:szCs w:val="22"/>
          <w:lang w:eastAsia="en-US"/>
        </w:rPr>
        <w:t>, por parte do</w:t>
      </w:r>
      <w:r w:rsidR="007E58F8" w:rsidRPr="00494A30">
        <w:rPr>
          <w:rFonts w:ascii="Calibri" w:eastAsiaTheme="minorHAnsi" w:hAnsi="Calibri"/>
          <w:b/>
          <w:sz w:val="22"/>
          <w:szCs w:val="22"/>
          <w:lang w:eastAsia="en-US"/>
        </w:rPr>
        <w:t xml:space="preserve"> CLIENTE</w:t>
      </w:r>
      <w:r>
        <w:rPr>
          <w:rFonts w:ascii="Calibri" w:eastAsiaTheme="minorHAnsi" w:hAnsi="Calibri"/>
          <w:sz w:val="22"/>
          <w:szCs w:val="22"/>
          <w:lang w:eastAsia="en-US"/>
        </w:rPr>
        <w:t>:</w:t>
      </w:r>
    </w:p>
    <w:p w14:paraId="2A6B466D" w14:textId="7179328D" w:rsidR="00AB17D0" w:rsidRPr="00207DE5" w:rsidRDefault="00AB17D0" w:rsidP="00207DE5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A existência de requisitos de migração de e-mails claramente definidos e documentados, incluindo volume de dados, tipos de contas e personalizações necessárias</w:t>
      </w:r>
      <w:r w:rsidR="00F9457D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6A0915D5" w14:textId="57F7634B" w:rsidR="00AB17D0" w:rsidRPr="00207DE5" w:rsidRDefault="00D84AA0" w:rsidP="00207DE5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A disponibilidade de acesso adequado à infraestrutura de e-mails atual, incluindo servidores, configurações</w:t>
      </w:r>
      <w:r w:rsidR="002306FD">
        <w:rPr>
          <w:rFonts w:ascii="Calibri" w:eastAsiaTheme="minorHAnsi" w:hAnsi="Calibri"/>
          <w:sz w:val="22"/>
          <w:szCs w:val="22"/>
          <w:lang w:eastAsia="en-US"/>
        </w:rPr>
        <w:t>,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dados existentes</w:t>
      </w:r>
      <w:r w:rsidR="002306FD" w:rsidRPr="00E44EF5">
        <w:rPr>
          <w:rFonts w:ascii="Calibri" w:eastAsiaTheme="minorHAnsi" w:hAnsi="Calibri"/>
          <w:sz w:val="22"/>
          <w:szCs w:val="22"/>
          <w:lang w:eastAsia="en-US"/>
        </w:rPr>
        <w:t>, políticas de segurança e arquitetura de rede.</w:t>
      </w:r>
      <w:r w:rsidR="002E3561">
        <w:rPr>
          <w:rFonts w:ascii="Calibri" w:eastAsiaTheme="minorHAnsi" w:hAnsi="Calibri"/>
          <w:sz w:val="22"/>
          <w:szCs w:val="22"/>
          <w:lang w:eastAsia="en-US"/>
        </w:rPr>
        <w:t xml:space="preserve"> Além do</w:t>
      </w:r>
      <w:r w:rsidR="002E3561" w:rsidRPr="00C830E0">
        <w:rPr>
          <w:rFonts w:ascii="Calibri" w:eastAsiaTheme="minorHAnsi" w:hAnsi="Calibri"/>
          <w:sz w:val="22"/>
          <w:szCs w:val="22"/>
          <w:lang w:eastAsia="en-US"/>
        </w:rPr>
        <w:t xml:space="preserve"> acesso autorizado aos ambientes de destino, incluindo permissões necessárias para configurações e migração</w:t>
      </w:r>
      <w:r w:rsidR="002E3561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02A86B07" w14:textId="6644AB79" w:rsidR="002E3561" w:rsidRPr="00C830E0" w:rsidRDefault="00D84AA0" w:rsidP="00207DE5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A colaboração </w:t>
      </w:r>
      <w:r w:rsidR="00F9457D">
        <w:rPr>
          <w:rFonts w:ascii="Calibri" w:eastAsiaTheme="minorHAnsi" w:hAnsi="Calibri"/>
          <w:sz w:val="22"/>
          <w:szCs w:val="22"/>
          <w:lang w:eastAsia="en-US"/>
        </w:rPr>
        <w:t xml:space="preserve">do </w:t>
      </w:r>
      <w:r w:rsidR="00F9457D" w:rsidRPr="00207DE5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>, incluindo equipes de TI, usuários finais e outros envolvidos no processo de migração</w:t>
      </w:r>
      <w:r w:rsidR="00F9457D">
        <w:rPr>
          <w:rFonts w:ascii="Calibri" w:eastAsiaTheme="minorHAnsi" w:hAnsi="Calibri"/>
          <w:sz w:val="22"/>
          <w:szCs w:val="22"/>
          <w:lang w:eastAsia="en-US"/>
        </w:rPr>
        <w:t xml:space="preserve">, quando solicitado pela </w:t>
      </w:r>
      <w:r w:rsidR="00F9457D" w:rsidRPr="00207DE5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F9457D">
        <w:rPr>
          <w:rFonts w:ascii="Calibri" w:eastAsiaTheme="minorHAnsi" w:hAnsi="Calibri"/>
          <w:sz w:val="22"/>
          <w:szCs w:val="22"/>
          <w:lang w:eastAsia="en-US"/>
        </w:rPr>
        <w:t>;</w:t>
      </w:r>
      <w:r w:rsidR="002E3561" w:rsidRPr="002E3561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</w:p>
    <w:p w14:paraId="476F835A" w14:textId="30F34912" w:rsidR="00D84AA0" w:rsidRPr="00207DE5" w:rsidRDefault="00D84AA0" w:rsidP="00207DE5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A existência de uma conectividade de rede estável e confiável para garantir a transferência eficiente de dados durante a migração</w:t>
      </w:r>
      <w:r w:rsidR="00F9457D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29FA159F" w14:textId="42DA768C" w:rsidR="00D84AA0" w:rsidRPr="002C4A58" w:rsidRDefault="00D84AA0" w:rsidP="00207DE5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900337">
        <w:rPr>
          <w:rFonts w:ascii="Calibri" w:eastAsiaTheme="minorHAnsi" w:hAnsi="Calibri"/>
          <w:sz w:val="22"/>
          <w:szCs w:val="22"/>
          <w:lang w:eastAsia="en-US"/>
        </w:rPr>
        <w:t>A realização de backups completos e atualizados dos dados de e-mails antes do início do processo de migração, como medida de segurança</w:t>
      </w:r>
      <w:r w:rsidR="002306FD" w:rsidRPr="002C4A58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1C56934" w14:textId="0BD28A4C" w:rsidR="00106531" w:rsidRPr="00207DE5" w:rsidRDefault="00106531" w:rsidP="00207DE5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O licenciamento adequado das plataformas de destino, como </w:t>
      </w:r>
      <w:r w:rsidR="00F9457D">
        <w:rPr>
          <w:rFonts w:ascii="Calibri" w:eastAsiaTheme="minorHAnsi" w:hAnsi="Calibri"/>
          <w:sz w:val="22"/>
          <w:szCs w:val="22"/>
          <w:lang w:eastAsia="en-US"/>
        </w:rPr>
        <w:t>Microsoft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365 ou Google </w:t>
      </w:r>
      <w:proofErr w:type="spellStart"/>
      <w:r w:rsidRPr="00207DE5">
        <w:rPr>
          <w:rFonts w:ascii="Calibri" w:eastAsiaTheme="minorHAnsi" w:hAnsi="Calibri"/>
          <w:sz w:val="22"/>
          <w:szCs w:val="22"/>
          <w:lang w:eastAsia="en-US"/>
        </w:rPr>
        <w:t>Workspace</w:t>
      </w:r>
      <w:proofErr w:type="spellEnd"/>
      <w:r w:rsidRPr="00207DE5">
        <w:rPr>
          <w:rFonts w:ascii="Calibri" w:eastAsiaTheme="minorHAnsi" w:hAnsi="Calibri"/>
          <w:sz w:val="22"/>
          <w:szCs w:val="22"/>
          <w:lang w:eastAsia="en-US"/>
        </w:rPr>
        <w:t>, para acomodar as contas de e-mail migradas</w:t>
      </w:r>
      <w:r w:rsidR="002306FD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FAC19BF" w14:textId="3EEDD800" w:rsidR="002306FD" w:rsidRDefault="00106531" w:rsidP="00207DE5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A compreensão das políticas de segurança existentes e a adesão </w:t>
      </w:r>
      <w:r w:rsidR="007E58F8">
        <w:rPr>
          <w:rFonts w:ascii="Calibri" w:eastAsiaTheme="minorHAnsi" w:hAnsi="Calibri"/>
          <w:sz w:val="22"/>
          <w:szCs w:val="22"/>
          <w:lang w:eastAsia="en-US"/>
        </w:rPr>
        <w:t>a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elas durante todo o processo de migração para garantir a conformidade</w:t>
      </w:r>
      <w:r w:rsidR="002306FD" w:rsidRPr="00207DE5"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7C692748" w14:textId="2D2A1E89" w:rsidR="0018211E" w:rsidRDefault="002306FD" w:rsidP="00207DE5">
      <w:pPr>
        <w:pStyle w:val="PargrafodaLista"/>
        <w:numPr>
          <w:ilvl w:val="1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R</w:t>
      </w:r>
      <w:r w:rsidR="0018211E" w:rsidRPr="00207DE5">
        <w:rPr>
          <w:rFonts w:ascii="Calibri" w:eastAsiaTheme="minorHAnsi" w:hAnsi="Calibri"/>
          <w:sz w:val="22"/>
          <w:szCs w:val="22"/>
          <w:lang w:eastAsia="en-US"/>
        </w:rPr>
        <w:t>ecursos de hardware e software adequados para suportar a migração, incluindo capacidade de processamento e armazenamento</w:t>
      </w:r>
      <w:r>
        <w:rPr>
          <w:rFonts w:ascii="Calibri" w:eastAsiaTheme="minorHAnsi" w:hAnsi="Calibri"/>
          <w:sz w:val="22"/>
          <w:szCs w:val="22"/>
          <w:lang w:eastAsia="en-US"/>
        </w:rPr>
        <w:t>;</w:t>
      </w:r>
    </w:p>
    <w:p w14:paraId="43E241B0" w14:textId="41C9AAEC" w:rsidR="002C4A58" w:rsidRDefault="002C4A58" w:rsidP="00EE0DEC">
      <w:pPr>
        <w:pStyle w:val="PargrafodaLista"/>
        <w:numPr>
          <w:ilvl w:val="0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Para copias de dados ou de segurança que o </w:t>
      </w:r>
      <w:r w:rsidRPr="00494A30">
        <w:rPr>
          <w:rFonts w:ascii="Calibri" w:eastAsiaTheme="minorHAnsi" w:hAnsi="Calibri"/>
          <w:b/>
          <w:sz w:val="22"/>
          <w:szCs w:val="22"/>
          <w:lang w:eastAsia="en-US"/>
        </w:rPr>
        <w:t xml:space="preserve">CLIENTE </w:t>
      </w:r>
      <w:r>
        <w:rPr>
          <w:rFonts w:ascii="Calibri" w:eastAsiaTheme="minorHAnsi" w:hAnsi="Calibri"/>
          <w:sz w:val="22"/>
          <w:szCs w:val="22"/>
          <w:lang w:eastAsia="en-US"/>
        </w:rPr>
        <w:t>solicitar, o mesmo deverá informar e fornecer o local de armazenamento / destino para salvagu</w:t>
      </w:r>
      <w:r w:rsidR="00856B75">
        <w:rPr>
          <w:rFonts w:ascii="Calibri" w:eastAsiaTheme="minorHAnsi" w:hAnsi="Calibri"/>
          <w:sz w:val="22"/>
          <w:szCs w:val="22"/>
          <w:lang w:eastAsia="en-US"/>
        </w:rPr>
        <w:t>arda destes dados / informações;</w:t>
      </w:r>
    </w:p>
    <w:p w14:paraId="0CB592D7" w14:textId="1177D471" w:rsidR="00856B75" w:rsidRPr="00207DE5" w:rsidRDefault="00856B75" w:rsidP="00EE0DEC">
      <w:pPr>
        <w:pStyle w:val="PargrafodaLista"/>
        <w:numPr>
          <w:ilvl w:val="0"/>
          <w:numId w:val="4"/>
        </w:num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O escopo do serviço não contempla criação de sites e migração de file server para Sharepoint.</w:t>
      </w:r>
    </w:p>
    <w:p w14:paraId="46B37AB2" w14:textId="77777777" w:rsidR="00A53EBC" w:rsidRPr="00207DE5" w:rsidRDefault="00A53EBC" w:rsidP="00A53EBC">
      <w:pPr>
        <w:rPr>
          <w:rFonts w:ascii="Calibri" w:eastAsiaTheme="minorHAnsi" w:hAnsi="Calibri"/>
          <w:sz w:val="22"/>
          <w:szCs w:val="22"/>
          <w:lang w:eastAsia="en-US"/>
        </w:rPr>
      </w:pPr>
    </w:p>
    <w:p w14:paraId="077F193D" w14:textId="68924200" w:rsidR="00A34D79" w:rsidRPr="00CE32FE" w:rsidRDefault="00A34D79" w:rsidP="00A40735">
      <w:pPr>
        <w:pStyle w:val="Titulo1"/>
      </w:pPr>
      <w:bookmarkStart w:id="122" w:name="_Toc170327027"/>
      <w:r w:rsidRPr="00CE32FE">
        <w:t>Matriz de responsabilidade</w:t>
      </w:r>
      <w:bookmarkEnd w:id="122"/>
    </w:p>
    <w:p w14:paraId="4DFAFB1A" w14:textId="5030BA10" w:rsidR="00A34D79" w:rsidRPr="00207DE5" w:rsidRDefault="00A34D79" w:rsidP="00EF3F24">
      <w:p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R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- Responsável; </w:t>
      </w: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A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- Aprovador;</w:t>
      </w: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 xml:space="preserve"> S 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- Suporte; </w:t>
      </w: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 xml:space="preserve">I 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– Informado; </w:t>
      </w: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C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– Consulta e </w:t>
      </w: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O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- Opcional.</w:t>
      </w:r>
    </w:p>
    <w:p w14:paraId="7DD75DD4" w14:textId="5F91A618" w:rsidR="00AE4D10" w:rsidRPr="00CE32FE" w:rsidRDefault="00AE4D10" w:rsidP="00F60DE3">
      <w:pPr>
        <w:pStyle w:val="Titulo2"/>
      </w:pPr>
      <w:bookmarkStart w:id="123" w:name="_Toc170327028"/>
      <w:r w:rsidRPr="00CE32FE">
        <w:t>Matriz de Responsabilidade – Licenciamento de Software</w:t>
      </w:r>
      <w:bookmarkEnd w:id="123"/>
    </w:p>
    <w:tbl>
      <w:tblPr>
        <w:tblStyle w:val="TabeladeGradeClara"/>
        <w:tblW w:w="9781" w:type="dxa"/>
        <w:tblLook w:val="04A0" w:firstRow="1" w:lastRow="0" w:firstColumn="1" w:lastColumn="0" w:noHBand="0" w:noVBand="1"/>
      </w:tblPr>
      <w:tblGrid>
        <w:gridCol w:w="1234"/>
        <w:gridCol w:w="6072"/>
        <w:gridCol w:w="1194"/>
        <w:gridCol w:w="1281"/>
      </w:tblGrid>
      <w:tr w:rsidR="00AE4D10" w:rsidRPr="00CE32FE" w14:paraId="28E2EDDF" w14:textId="77777777" w:rsidTr="00EF3F24">
        <w:trPr>
          <w:trHeight w:val="558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50D0323E" w14:textId="77777777" w:rsidR="00AE4D10" w:rsidRPr="00207DE5" w:rsidRDefault="00AE4D10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Contratação Opcional?</w:t>
            </w:r>
          </w:p>
        </w:tc>
        <w:tc>
          <w:tcPr>
            <w:tcW w:w="6072" w:type="dxa"/>
            <w:shd w:val="clear" w:color="auto" w:fill="297FD5" w:themeFill="accent3"/>
            <w:vAlign w:val="center"/>
            <w:hideMark/>
          </w:tcPr>
          <w:p w14:paraId="5E24552E" w14:textId="77777777" w:rsidR="00AE4D10" w:rsidRPr="00207DE5" w:rsidRDefault="00AE4D10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1194" w:type="dxa"/>
            <w:shd w:val="clear" w:color="auto" w:fill="297FD5" w:themeFill="accent3"/>
            <w:vAlign w:val="center"/>
            <w:hideMark/>
          </w:tcPr>
          <w:p w14:paraId="32E4ABB1" w14:textId="28F6F066" w:rsidR="00AE4D10" w:rsidRPr="00207DE5" w:rsidRDefault="00AE4D10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S</w:t>
            </w:r>
            <w:r w:rsidR="00EF3F24"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ONDA</w:t>
            </w:r>
          </w:p>
        </w:tc>
        <w:tc>
          <w:tcPr>
            <w:tcW w:w="1281" w:type="dxa"/>
            <w:shd w:val="clear" w:color="auto" w:fill="297FD5" w:themeFill="accent3"/>
            <w:vAlign w:val="center"/>
            <w:hideMark/>
          </w:tcPr>
          <w:p w14:paraId="099B60F3" w14:textId="57CDF3C6" w:rsidR="00AE4D10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AE4D10" w:rsidRPr="00CE32FE" w14:paraId="6F593496" w14:textId="77777777" w:rsidTr="00EF3F24">
        <w:trPr>
          <w:trHeight w:val="315"/>
        </w:trPr>
        <w:tc>
          <w:tcPr>
            <w:tcW w:w="1234" w:type="dxa"/>
          </w:tcPr>
          <w:p w14:paraId="24CC4234" w14:textId="4584434E" w:rsidR="00AE4D10" w:rsidRPr="00207DE5" w:rsidRDefault="007E58F8" w:rsidP="00DF6750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Sim</w:t>
            </w:r>
          </w:p>
        </w:tc>
        <w:tc>
          <w:tcPr>
            <w:tcW w:w="6072" w:type="dxa"/>
          </w:tcPr>
          <w:p w14:paraId="4B149597" w14:textId="4664FCA6" w:rsidR="00AE4D10" w:rsidRPr="00194001" w:rsidRDefault="00AE4D10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Licenciamento d</w:t>
            </w:r>
            <w:r w:rsidR="00DA1FB6">
              <w:rPr>
                <w:rFonts w:ascii="Calibri" w:hAnsi="Calibri" w:cstheme="minorHAnsi"/>
                <w:color w:val="000000"/>
                <w:szCs w:val="20"/>
                <w:lang w:eastAsia="pt-BR"/>
              </w:rPr>
              <w:t>as ferramentas de Colaboração</w:t>
            </w:r>
            <w:r w:rsidRPr="00194001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listado em proposta</w:t>
            </w:r>
          </w:p>
        </w:tc>
        <w:tc>
          <w:tcPr>
            <w:tcW w:w="1194" w:type="dxa"/>
          </w:tcPr>
          <w:p w14:paraId="6FBB8D61" w14:textId="31369D62" w:rsidR="00AE4D10" w:rsidRPr="001E67AE" w:rsidRDefault="00A92823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81" w:type="dxa"/>
          </w:tcPr>
          <w:p w14:paraId="092BC60A" w14:textId="29338B16" w:rsidR="00AE4D10" w:rsidRPr="00203795" w:rsidRDefault="00A92823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  <w:tr w:rsidR="00AE4D10" w:rsidRPr="00CE32FE" w14:paraId="12ACC002" w14:textId="77777777" w:rsidTr="00EF3F24">
        <w:trPr>
          <w:trHeight w:val="315"/>
        </w:trPr>
        <w:tc>
          <w:tcPr>
            <w:tcW w:w="1234" w:type="dxa"/>
          </w:tcPr>
          <w:p w14:paraId="4C435F38" w14:textId="77777777" w:rsidR="00AE4D10" w:rsidRPr="00207DE5" w:rsidRDefault="00AE4D10" w:rsidP="00DF6750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072" w:type="dxa"/>
          </w:tcPr>
          <w:p w14:paraId="4FA8C394" w14:textId="54F16999" w:rsidR="00AE4D10" w:rsidRPr="00194001" w:rsidRDefault="00AE4D10" w:rsidP="00DF6750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Licenças de aplicativos não descritos n</w:t>
            </w:r>
            <w:r w:rsidR="00EF3F24" w:rsidRPr="00194001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a proposta para o uso do </w:t>
            </w:r>
            <w:r w:rsidR="00EF3F24" w:rsidRPr="00194001">
              <w:rPr>
                <w:rFonts w:ascii="Calibri" w:hAnsi="Calibri" w:cstheme="minorHAnsi"/>
                <w:b/>
                <w:color w:val="000000"/>
                <w:szCs w:val="20"/>
                <w:lang w:eastAsia="pt-BR"/>
              </w:rPr>
              <w:t>CLIENTE</w:t>
            </w:r>
          </w:p>
        </w:tc>
        <w:tc>
          <w:tcPr>
            <w:tcW w:w="1194" w:type="dxa"/>
          </w:tcPr>
          <w:p w14:paraId="1863F59C" w14:textId="77777777" w:rsidR="00AE4D10" w:rsidRPr="001E67A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 I</w:t>
            </w:r>
          </w:p>
        </w:tc>
        <w:tc>
          <w:tcPr>
            <w:tcW w:w="1281" w:type="dxa"/>
          </w:tcPr>
          <w:p w14:paraId="4DD22A47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  <w:tr w:rsidR="00AE4D10" w:rsidRPr="00CE32FE" w14:paraId="501FA483" w14:textId="77777777" w:rsidTr="00EF3F24">
        <w:trPr>
          <w:trHeight w:val="315"/>
        </w:trPr>
        <w:tc>
          <w:tcPr>
            <w:tcW w:w="1234" w:type="dxa"/>
          </w:tcPr>
          <w:p w14:paraId="084EDAE1" w14:textId="77777777" w:rsidR="00AE4D10" w:rsidRPr="00207DE5" w:rsidRDefault="00AE4D10" w:rsidP="00DF6750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072" w:type="dxa"/>
          </w:tcPr>
          <w:p w14:paraId="542FAE86" w14:textId="77777777" w:rsidR="00AE4D10" w:rsidRPr="00CE32FE" w:rsidRDefault="00AE4D10" w:rsidP="00DF6750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Certificados digitais</w:t>
            </w:r>
          </w:p>
        </w:tc>
        <w:tc>
          <w:tcPr>
            <w:tcW w:w="1194" w:type="dxa"/>
          </w:tcPr>
          <w:p w14:paraId="44471AC7" w14:textId="77777777" w:rsidR="00AE4D10" w:rsidRPr="001E67A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 I</w:t>
            </w:r>
          </w:p>
        </w:tc>
        <w:tc>
          <w:tcPr>
            <w:tcW w:w="1281" w:type="dxa"/>
          </w:tcPr>
          <w:p w14:paraId="76DB24CC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  <w:tr w:rsidR="00AE4D10" w:rsidRPr="00CE32FE" w14:paraId="60391E8D" w14:textId="77777777" w:rsidTr="00EF3F24">
        <w:trPr>
          <w:trHeight w:val="315"/>
        </w:trPr>
        <w:tc>
          <w:tcPr>
            <w:tcW w:w="1234" w:type="dxa"/>
          </w:tcPr>
          <w:p w14:paraId="68F71FE9" w14:textId="77777777" w:rsidR="00AE4D10" w:rsidRPr="00207DE5" w:rsidRDefault="00AE4D10" w:rsidP="00DF6750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072" w:type="dxa"/>
          </w:tcPr>
          <w:p w14:paraId="6B90242E" w14:textId="77777777" w:rsidR="00AE4D10" w:rsidRPr="00CE32FE" w:rsidRDefault="00AE4D10" w:rsidP="00DF6750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Configuração de certificados digitais</w:t>
            </w:r>
          </w:p>
        </w:tc>
        <w:tc>
          <w:tcPr>
            <w:tcW w:w="1194" w:type="dxa"/>
          </w:tcPr>
          <w:p w14:paraId="13C8E031" w14:textId="22AE36B5" w:rsidR="00AE4D10" w:rsidRPr="001E67AE" w:rsidRDefault="00875896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 R</w:t>
            </w:r>
          </w:p>
        </w:tc>
        <w:tc>
          <w:tcPr>
            <w:tcW w:w="1281" w:type="dxa"/>
          </w:tcPr>
          <w:p w14:paraId="1C4D656F" w14:textId="37BC5B65" w:rsidR="00AE4D10" w:rsidRPr="00203795" w:rsidRDefault="00875896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C/A</w:t>
            </w:r>
          </w:p>
        </w:tc>
      </w:tr>
      <w:tr w:rsidR="007E58F8" w:rsidRPr="00CE32FE" w14:paraId="40462BCD" w14:textId="77777777" w:rsidTr="00EF3F24">
        <w:trPr>
          <w:trHeight w:val="315"/>
        </w:trPr>
        <w:tc>
          <w:tcPr>
            <w:tcW w:w="1234" w:type="dxa"/>
          </w:tcPr>
          <w:p w14:paraId="3DB710AA" w14:textId="468F40CD" w:rsidR="007E58F8" w:rsidRPr="00207DE5" w:rsidRDefault="00E210A2" w:rsidP="00DF6750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Sim</w:t>
            </w:r>
          </w:p>
        </w:tc>
        <w:tc>
          <w:tcPr>
            <w:tcW w:w="6072" w:type="dxa"/>
          </w:tcPr>
          <w:p w14:paraId="33070E3E" w14:textId="7E16CFDD" w:rsidR="007E58F8" w:rsidRPr="00CE32FE" w:rsidRDefault="00EE0DEC" w:rsidP="00DF6750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Transferir</w:t>
            </w:r>
            <w:r w:rsidR="00E210A2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a autoridade de administração do licenciamento atual para  a </w:t>
            </w:r>
            <w:r w:rsidR="00E210A2" w:rsidRPr="008B494D">
              <w:rPr>
                <w:rFonts w:ascii="Calibri" w:hAnsi="Calibri" w:cstheme="minorHAnsi"/>
                <w:b/>
                <w:color w:val="000000"/>
                <w:szCs w:val="20"/>
                <w:lang w:eastAsia="pt-BR"/>
              </w:rPr>
              <w:t>SONDA</w:t>
            </w:r>
          </w:p>
        </w:tc>
        <w:tc>
          <w:tcPr>
            <w:tcW w:w="1194" w:type="dxa"/>
          </w:tcPr>
          <w:p w14:paraId="30BA3B1D" w14:textId="30A6190A" w:rsidR="007E58F8" w:rsidRPr="001E67AE" w:rsidRDefault="00E210A2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  <w:tc>
          <w:tcPr>
            <w:tcW w:w="1281" w:type="dxa"/>
          </w:tcPr>
          <w:p w14:paraId="737A9229" w14:textId="76436FF6" w:rsidR="007E58F8" w:rsidRPr="00203795" w:rsidRDefault="00E210A2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</w:tbl>
    <w:p w14:paraId="5A854278" w14:textId="624C0954" w:rsidR="006B615D" w:rsidRDefault="00EE0DEC" w:rsidP="00F60DE3">
      <w:pPr>
        <w:pStyle w:val="Titulo2"/>
      </w:pPr>
      <w:bookmarkStart w:id="124" w:name="_Toc170327029"/>
      <w:r>
        <w:t xml:space="preserve">Matriz de Responsabilidade - </w:t>
      </w:r>
      <w:r w:rsidR="006B615D" w:rsidRPr="00CE32FE">
        <w:t xml:space="preserve">Migração </w:t>
      </w:r>
      <w:r w:rsidR="006B615D">
        <w:t>de E-mail</w:t>
      </w:r>
      <w:bookmarkEnd w:id="124"/>
      <w:r w:rsidR="00346ED2">
        <w:t xml:space="preserve"> </w:t>
      </w:r>
    </w:p>
    <w:tbl>
      <w:tblPr>
        <w:tblStyle w:val="TabeladeGradeClara"/>
        <w:tblW w:w="9781" w:type="dxa"/>
        <w:tblLook w:val="04A0" w:firstRow="1" w:lastRow="0" w:firstColumn="1" w:lastColumn="0" w:noHBand="0" w:noVBand="1"/>
      </w:tblPr>
      <w:tblGrid>
        <w:gridCol w:w="1234"/>
        <w:gridCol w:w="6150"/>
        <w:gridCol w:w="1128"/>
        <w:gridCol w:w="1269"/>
      </w:tblGrid>
      <w:tr w:rsidR="006B615D" w:rsidRPr="00346ED2" w14:paraId="5A52147F" w14:textId="77777777" w:rsidTr="007E58F8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4553D1E8" w14:textId="77777777" w:rsidR="006B615D" w:rsidRPr="00346ED2" w:rsidRDefault="006B615D" w:rsidP="007E58F8">
            <w:pPr>
              <w:jc w:val="center"/>
              <w:rPr>
                <w:rFonts w:asciiTheme="majorHAnsi" w:hAnsiTheme="majorHAnsi" w:cstheme="majorHAnsi"/>
                <w:b/>
                <w:color w:val="FFFFFF"/>
                <w:szCs w:val="20"/>
                <w:lang w:eastAsia="pt-BR"/>
              </w:rPr>
            </w:pPr>
            <w:r w:rsidRPr="00346ED2">
              <w:rPr>
                <w:rFonts w:asciiTheme="majorHAnsi" w:hAnsiTheme="majorHAnsi" w:cstheme="majorHAnsi"/>
                <w:b/>
                <w:color w:val="FFFFFF"/>
                <w:szCs w:val="20"/>
                <w:lang w:eastAsia="pt-BR"/>
              </w:rPr>
              <w:t>Contratação Opcional?</w:t>
            </w:r>
          </w:p>
        </w:tc>
        <w:tc>
          <w:tcPr>
            <w:tcW w:w="6150" w:type="dxa"/>
            <w:shd w:val="clear" w:color="auto" w:fill="297FD5" w:themeFill="accent3"/>
            <w:vAlign w:val="center"/>
            <w:hideMark/>
          </w:tcPr>
          <w:p w14:paraId="3BA882BB" w14:textId="77777777" w:rsidR="006B615D" w:rsidRPr="00346ED2" w:rsidRDefault="006B615D" w:rsidP="007E58F8">
            <w:pPr>
              <w:jc w:val="center"/>
              <w:rPr>
                <w:rFonts w:asciiTheme="majorHAnsi" w:hAnsiTheme="majorHAnsi" w:cstheme="majorHAnsi"/>
                <w:b/>
                <w:color w:val="FFFFFF"/>
                <w:szCs w:val="20"/>
                <w:lang w:eastAsia="pt-BR"/>
              </w:rPr>
            </w:pPr>
            <w:r w:rsidRPr="00346ED2">
              <w:rPr>
                <w:rFonts w:asciiTheme="majorHAnsi" w:hAnsiTheme="majorHAnsi" w:cstheme="majorHAnsi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1128" w:type="dxa"/>
            <w:shd w:val="clear" w:color="auto" w:fill="297FD5" w:themeFill="accent3"/>
            <w:vAlign w:val="center"/>
            <w:hideMark/>
          </w:tcPr>
          <w:p w14:paraId="4AAC046B" w14:textId="77777777" w:rsidR="006B615D" w:rsidRPr="00346ED2" w:rsidRDefault="006B615D" w:rsidP="007E58F8">
            <w:pPr>
              <w:jc w:val="center"/>
              <w:rPr>
                <w:rFonts w:asciiTheme="majorHAnsi" w:hAnsiTheme="majorHAnsi" w:cstheme="majorHAnsi"/>
                <w:b/>
                <w:color w:val="FFFFFF"/>
                <w:szCs w:val="20"/>
                <w:lang w:eastAsia="pt-BR"/>
              </w:rPr>
            </w:pPr>
            <w:r w:rsidRPr="00346ED2">
              <w:rPr>
                <w:rFonts w:asciiTheme="majorHAnsi" w:hAnsiTheme="majorHAnsi" w:cstheme="majorHAnsi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269" w:type="dxa"/>
            <w:shd w:val="clear" w:color="auto" w:fill="297FD5" w:themeFill="accent3"/>
            <w:vAlign w:val="center"/>
            <w:hideMark/>
          </w:tcPr>
          <w:p w14:paraId="44325776" w14:textId="77777777" w:rsidR="006B615D" w:rsidRPr="00346ED2" w:rsidRDefault="006B615D" w:rsidP="007E58F8">
            <w:pPr>
              <w:jc w:val="center"/>
              <w:rPr>
                <w:rFonts w:asciiTheme="majorHAnsi" w:hAnsiTheme="majorHAnsi" w:cstheme="majorHAnsi"/>
                <w:b/>
                <w:color w:val="FFFFFF"/>
                <w:szCs w:val="20"/>
                <w:lang w:eastAsia="pt-BR"/>
              </w:rPr>
            </w:pPr>
            <w:r w:rsidRPr="00346ED2">
              <w:rPr>
                <w:rFonts w:asciiTheme="majorHAnsi" w:hAnsiTheme="majorHAnsi" w:cstheme="majorHAnsi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346ED2" w:rsidRPr="00346ED2" w14:paraId="6D016742" w14:textId="77777777" w:rsidTr="007E58F8">
        <w:trPr>
          <w:trHeight w:val="315"/>
        </w:trPr>
        <w:tc>
          <w:tcPr>
            <w:tcW w:w="1234" w:type="dxa"/>
          </w:tcPr>
          <w:p w14:paraId="019FF34D" w14:textId="430D920C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0A11CE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704571F1" w14:textId="27143D29" w:rsidR="00346ED2" w:rsidRPr="00346ED2" w:rsidRDefault="00346ED2" w:rsidP="00346ED2">
            <w:pPr>
              <w:jc w:val="left"/>
              <w:rPr>
                <w:rFonts w:asciiTheme="majorHAnsi" w:hAnsiTheme="majorHAnsi" w:cstheme="majorHAnsi"/>
                <w:color w:val="1E53A3"/>
                <w:szCs w:val="20"/>
              </w:rPr>
            </w:pPr>
            <w:r w:rsidRPr="00346ED2">
              <w:rPr>
                <w:rFonts w:asciiTheme="majorHAnsi" w:eastAsiaTheme="minorHAnsi" w:hAnsiTheme="majorHAnsi" w:cstheme="majorHAnsi"/>
                <w:szCs w:val="20"/>
                <w:lang w:eastAsia="en-US"/>
              </w:rPr>
              <w:t xml:space="preserve">Avaliação dos sistemas de e-mail existentes no </w:t>
            </w:r>
            <w:r w:rsidRPr="00346ED2">
              <w:rPr>
                <w:rFonts w:asciiTheme="majorHAnsi" w:eastAsiaTheme="minorHAnsi" w:hAnsiTheme="majorHAnsi" w:cstheme="majorHAnsi"/>
                <w:b/>
                <w:szCs w:val="20"/>
                <w:lang w:eastAsia="en-US"/>
              </w:rPr>
              <w:t>CLIENTE</w:t>
            </w:r>
          </w:p>
        </w:tc>
        <w:tc>
          <w:tcPr>
            <w:tcW w:w="1128" w:type="dxa"/>
          </w:tcPr>
          <w:p w14:paraId="33311864" w14:textId="1B2D6E1D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69" w:type="dxa"/>
          </w:tcPr>
          <w:p w14:paraId="7D818612" w14:textId="09EDD1A4" w:rsidR="00346ED2" w:rsidRPr="00346ED2" w:rsidDel="006B615D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S</w:t>
            </w:r>
          </w:p>
        </w:tc>
      </w:tr>
      <w:tr w:rsidR="00346ED2" w:rsidRPr="00346ED2" w14:paraId="7520C8B4" w14:textId="77777777" w:rsidTr="007E58F8">
        <w:trPr>
          <w:trHeight w:val="315"/>
        </w:trPr>
        <w:tc>
          <w:tcPr>
            <w:tcW w:w="1234" w:type="dxa"/>
          </w:tcPr>
          <w:p w14:paraId="69E33F97" w14:textId="7AA8A794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0A11CE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4E0B845B" w14:textId="29EFBE7B" w:rsidR="00346ED2" w:rsidRPr="00346ED2" w:rsidRDefault="00346ED2" w:rsidP="00346ED2">
            <w:pPr>
              <w:jc w:val="left"/>
              <w:rPr>
                <w:rFonts w:asciiTheme="majorHAnsi" w:hAnsiTheme="majorHAnsi" w:cstheme="majorHAnsi"/>
                <w:color w:val="1E53A3"/>
                <w:szCs w:val="20"/>
              </w:rPr>
            </w:pPr>
            <w:r w:rsidRPr="00346ED2">
              <w:rPr>
                <w:rFonts w:asciiTheme="majorHAnsi" w:eastAsiaTheme="minorHAnsi" w:hAnsiTheme="majorHAnsi" w:cstheme="majorHAnsi"/>
                <w:szCs w:val="20"/>
                <w:lang w:eastAsia="en-US"/>
              </w:rPr>
              <w:t>Preparação dos</w:t>
            </w:r>
            <w:r>
              <w:rPr>
                <w:rFonts w:asciiTheme="majorHAnsi" w:eastAsiaTheme="minorHAnsi" w:hAnsiTheme="majorHAnsi" w:cstheme="majorHAnsi"/>
                <w:szCs w:val="20"/>
                <w:lang w:eastAsia="en-US"/>
              </w:rPr>
              <w:t xml:space="preserve"> ambientes de origem e destino</w:t>
            </w:r>
          </w:p>
        </w:tc>
        <w:tc>
          <w:tcPr>
            <w:tcW w:w="1128" w:type="dxa"/>
          </w:tcPr>
          <w:p w14:paraId="2AE1849B" w14:textId="620A7B11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69" w:type="dxa"/>
          </w:tcPr>
          <w:p w14:paraId="28A8F737" w14:textId="47202307" w:rsidR="00346ED2" w:rsidRPr="00346ED2" w:rsidDel="006B615D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S</w:t>
            </w:r>
          </w:p>
        </w:tc>
      </w:tr>
      <w:tr w:rsidR="00346ED2" w:rsidRPr="00346ED2" w14:paraId="59AC6140" w14:textId="77777777" w:rsidTr="007E58F8">
        <w:trPr>
          <w:trHeight w:val="315"/>
        </w:trPr>
        <w:tc>
          <w:tcPr>
            <w:tcW w:w="1234" w:type="dxa"/>
          </w:tcPr>
          <w:p w14:paraId="05C0856C" w14:textId="3331D513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0A11CE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45CB4698" w14:textId="1CA1D537" w:rsidR="00346ED2" w:rsidRPr="00346ED2" w:rsidRDefault="00346ED2" w:rsidP="00346ED2">
            <w:pPr>
              <w:jc w:val="left"/>
              <w:rPr>
                <w:rFonts w:asciiTheme="majorHAnsi" w:hAnsiTheme="majorHAnsi" w:cstheme="majorHAnsi"/>
                <w:color w:val="1E53A3"/>
                <w:szCs w:val="20"/>
              </w:rPr>
            </w:pPr>
            <w:r w:rsidRPr="00346ED2">
              <w:rPr>
                <w:rFonts w:asciiTheme="majorHAnsi" w:hAnsiTheme="majorHAnsi" w:cstheme="majorHAnsi"/>
                <w:szCs w:val="20"/>
                <w:lang w:eastAsia="pt-BR"/>
              </w:rPr>
              <w:t>Mapeamento dos dados das contas de e-mails antigas para os formatos compatíveis com o novo ambiente</w:t>
            </w:r>
          </w:p>
        </w:tc>
        <w:tc>
          <w:tcPr>
            <w:tcW w:w="1128" w:type="dxa"/>
          </w:tcPr>
          <w:p w14:paraId="225FFE33" w14:textId="3157097D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69" w:type="dxa"/>
          </w:tcPr>
          <w:p w14:paraId="57A7C138" w14:textId="7313C02C" w:rsidR="00346ED2" w:rsidRPr="00346ED2" w:rsidDel="006B615D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S</w:t>
            </w:r>
          </w:p>
        </w:tc>
      </w:tr>
      <w:tr w:rsidR="00346ED2" w:rsidRPr="00346ED2" w14:paraId="46300EF0" w14:textId="77777777" w:rsidTr="007E58F8">
        <w:trPr>
          <w:trHeight w:val="315"/>
        </w:trPr>
        <w:tc>
          <w:tcPr>
            <w:tcW w:w="1234" w:type="dxa"/>
          </w:tcPr>
          <w:p w14:paraId="451BC145" w14:textId="19C7FA91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0A11CE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54D258EB" w14:textId="60E3130B" w:rsidR="00346ED2" w:rsidRPr="00346ED2" w:rsidRDefault="00346ED2" w:rsidP="00346ED2">
            <w:pPr>
              <w:jc w:val="left"/>
              <w:rPr>
                <w:rFonts w:asciiTheme="majorHAnsi" w:hAnsiTheme="majorHAnsi" w:cstheme="majorHAnsi"/>
                <w:color w:val="1E53A3"/>
                <w:szCs w:val="20"/>
              </w:rPr>
            </w:pPr>
            <w:r w:rsidRPr="00346ED2">
              <w:rPr>
                <w:rFonts w:asciiTheme="majorHAnsi" w:eastAsiaTheme="minorHAnsi" w:hAnsiTheme="majorHAnsi" w:cstheme="majorHAnsi"/>
                <w:szCs w:val="20"/>
                <w:lang w:eastAsia="en-US"/>
              </w:rPr>
              <w:t>Transferência segura de dados de e-mail, incluindo e-mails, contatos, calendários e pastas</w:t>
            </w:r>
          </w:p>
        </w:tc>
        <w:tc>
          <w:tcPr>
            <w:tcW w:w="1128" w:type="dxa"/>
          </w:tcPr>
          <w:p w14:paraId="24AA1BF2" w14:textId="57C047ED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69" w:type="dxa"/>
          </w:tcPr>
          <w:p w14:paraId="2CFECDF6" w14:textId="06943754" w:rsidR="00346ED2" w:rsidRPr="00346ED2" w:rsidDel="006B615D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S</w:t>
            </w:r>
          </w:p>
        </w:tc>
      </w:tr>
      <w:tr w:rsidR="00346ED2" w:rsidRPr="00346ED2" w14:paraId="6309779C" w14:textId="77777777" w:rsidTr="007E58F8">
        <w:trPr>
          <w:trHeight w:val="315"/>
        </w:trPr>
        <w:tc>
          <w:tcPr>
            <w:tcW w:w="1234" w:type="dxa"/>
          </w:tcPr>
          <w:p w14:paraId="3CB9EC59" w14:textId="27E45D27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0A11CE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43ACE008" w14:textId="64911EC8" w:rsidR="00346ED2" w:rsidRPr="00346ED2" w:rsidRDefault="00346ED2" w:rsidP="00346ED2">
            <w:pPr>
              <w:jc w:val="left"/>
              <w:rPr>
                <w:rFonts w:asciiTheme="majorHAnsi" w:hAnsiTheme="majorHAnsi" w:cstheme="majorHAnsi"/>
                <w:color w:val="1E53A3"/>
                <w:szCs w:val="20"/>
              </w:rPr>
            </w:pPr>
            <w:r w:rsidRPr="00346ED2">
              <w:rPr>
                <w:rFonts w:asciiTheme="majorHAnsi" w:eastAsiaTheme="minorHAnsi" w:hAnsiTheme="majorHAnsi" w:cstheme="majorHAnsi"/>
                <w:szCs w:val="20"/>
                <w:lang w:eastAsia="en-US"/>
              </w:rPr>
              <w:t>Realização de testes para garantir que todos os dados foram migrados</w:t>
            </w:r>
          </w:p>
        </w:tc>
        <w:tc>
          <w:tcPr>
            <w:tcW w:w="1128" w:type="dxa"/>
          </w:tcPr>
          <w:p w14:paraId="5A1B7A9B" w14:textId="7F1B3806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69" w:type="dxa"/>
          </w:tcPr>
          <w:p w14:paraId="6B3B7522" w14:textId="52414C51" w:rsidR="00346ED2" w:rsidRPr="00346ED2" w:rsidDel="006B615D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S</w:t>
            </w:r>
          </w:p>
        </w:tc>
      </w:tr>
      <w:tr w:rsidR="00346ED2" w:rsidRPr="00346ED2" w14:paraId="642557C2" w14:textId="77777777" w:rsidTr="007E58F8">
        <w:trPr>
          <w:trHeight w:val="315"/>
        </w:trPr>
        <w:tc>
          <w:tcPr>
            <w:tcW w:w="1234" w:type="dxa"/>
          </w:tcPr>
          <w:p w14:paraId="107B04BF" w14:textId="76BD047E" w:rsidR="00346ED2" w:rsidRPr="000A11CE" w:rsidRDefault="00346ED2" w:rsidP="00346ED2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5A71CD74" w14:textId="30161C38" w:rsidR="00346ED2" w:rsidRPr="00346ED2" w:rsidRDefault="00346ED2" w:rsidP="00346ED2">
            <w:pPr>
              <w:jc w:val="left"/>
              <w:rPr>
                <w:rFonts w:asciiTheme="majorHAnsi" w:eastAsiaTheme="minorHAnsi" w:hAnsiTheme="majorHAnsi" w:cstheme="majorHAnsi"/>
                <w:szCs w:val="20"/>
                <w:lang w:eastAsia="en-US"/>
              </w:rPr>
            </w:pPr>
            <w:r w:rsidRPr="00346ED2">
              <w:rPr>
                <w:rFonts w:asciiTheme="majorHAnsi" w:eastAsiaTheme="minorHAnsi" w:hAnsiTheme="majorHAnsi" w:cstheme="majorHAnsi"/>
                <w:szCs w:val="20"/>
                <w:lang w:eastAsia="en-US"/>
              </w:rPr>
              <w:t>Realização de</w:t>
            </w:r>
            <w:r>
              <w:rPr>
                <w:rFonts w:asciiTheme="majorHAnsi" w:eastAsiaTheme="minorHAnsi" w:hAnsiTheme="majorHAnsi" w:cstheme="majorHAnsi"/>
                <w:szCs w:val="20"/>
                <w:lang w:eastAsia="en-US"/>
              </w:rPr>
              <w:t xml:space="preserve"> validação </w:t>
            </w:r>
            <w:r w:rsidRPr="00346ED2">
              <w:rPr>
                <w:rFonts w:asciiTheme="majorHAnsi" w:eastAsiaTheme="minorHAnsi" w:hAnsiTheme="majorHAnsi" w:cstheme="majorHAnsi"/>
                <w:szCs w:val="20"/>
                <w:lang w:eastAsia="en-US"/>
              </w:rPr>
              <w:t>para garantir que todos os dados foram migrados</w:t>
            </w:r>
          </w:p>
        </w:tc>
        <w:tc>
          <w:tcPr>
            <w:tcW w:w="1128" w:type="dxa"/>
          </w:tcPr>
          <w:p w14:paraId="5AE3D293" w14:textId="05314E05" w:rsid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I</w:t>
            </w:r>
          </w:p>
        </w:tc>
        <w:tc>
          <w:tcPr>
            <w:tcW w:w="1269" w:type="dxa"/>
          </w:tcPr>
          <w:p w14:paraId="71123FC5" w14:textId="12B5A3F7" w:rsid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R</w:t>
            </w:r>
          </w:p>
        </w:tc>
      </w:tr>
      <w:tr w:rsidR="00346ED2" w:rsidRPr="00346ED2" w14:paraId="63F0F078" w14:textId="77777777" w:rsidTr="007E58F8">
        <w:trPr>
          <w:trHeight w:val="315"/>
        </w:trPr>
        <w:tc>
          <w:tcPr>
            <w:tcW w:w="1234" w:type="dxa"/>
          </w:tcPr>
          <w:p w14:paraId="17473739" w14:textId="7ED657CA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 w:rsidRPr="000A11CE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221E3EA8" w14:textId="13CA7965" w:rsidR="00346ED2" w:rsidRPr="00346ED2" w:rsidRDefault="00346ED2" w:rsidP="00346ED2">
            <w:pPr>
              <w:jc w:val="left"/>
              <w:rPr>
                <w:rFonts w:asciiTheme="majorHAnsi" w:hAnsiTheme="majorHAnsi" w:cstheme="majorHAnsi"/>
                <w:color w:val="1E53A3"/>
                <w:szCs w:val="20"/>
              </w:rPr>
            </w:pPr>
            <w:r w:rsidRPr="00346ED2">
              <w:rPr>
                <w:rFonts w:asciiTheme="majorHAnsi" w:eastAsiaTheme="minorHAnsi" w:hAnsiTheme="majorHAnsi" w:cstheme="majorHAnsi"/>
                <w:szCs w:val="20"/>
                <w:lang w:eastAsia="en-US"/>
              </w:rPr>
              <w:t>Configuração da nova plataforma de e-mail de acordo com as políticas de segurança do</w:t>
            </w:r>
            <w:r w:rsidRPr="008B494D">
              <w:rPr>
                <w:rFonts w:asciiTheme="majorHAnsi" w:eastAsiaTheme="minorHAnsi" w:hAnsiTheme="majorHAnsi" w:cstheme="majorHAnsi"/>
                <w:b/>
                <w:szCs w:val="20"/>
                <w:lang w:eastAsia="en-US"/>
              </w:rPr>
              <w:t xml:space="preserve"> CLIENTE</w:t>
            </w:r>
          </w:p>
        </w:tc>
        <w:tc>
          <w:tcPr>
            <w:tcW w:w="1128" w:type="dxa"/>
          </w:tcPr>
          <w:p w14:paraId="7D56684D" w14:textId="2E19AF4C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69" w:type="dxa"/>
          </w:tcPr>
          <w:p w14:paraId="76EC57CB" w14:textId="2A66B15B" w:rsidR="00346ED2" w:rsidRPr="00346ED2" w:rsidRDefault="00346ED2" w:rsidP="00346ED2">
            <w:pPr>
              <w:jc w:val="center"/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theme="majorHAnsi"/>
                <w:color w:val="000000"/>
                <w:szCs w:val="20"/>
                <w:lang w:eastAsia="pt-BR"/>
              </w:rPr>
              <w:t>S</w:t>
            </w:r>
          </w:p>
        </w:tc>
      </w:tr>
    </w:tbl>
    <w:p w14:paraId="47AA85F4" w14:textId="09927110" w:rsidR="006B615D" w:rsidRPr="006B615D" w:rsidRDefault="00AE4D10" w:rsidP="00F60DE3">
      <w:pPr>
        <w:pStyle w:val="Titulo2"/>
      </w:pPr>
      <w:bookmarkStart w:id="125" w:name="_Toc170327030"/>
      <w:r w:rsidRPr="00CE32FE">
        <w:t>Matriz de Responsabilidade – Instalação e Configuração do Ambiente</w:t>
      </w:r>
      <w:bookmarkEnd w:id="125"/>
    </w:p>
    <w:tbl>
      <w:tblPr>
        <w:tblStyle w:val="TabeladeGradeClara"/>
        <w:tblW w:w="9781" w:type="dxa"/>
        <w:tblLook w:val="04A0" w:firstRow="1" w:lastRow="0" w:firstColumn="1" w:lastColumn="0" w:noHBand="0" w:noVBand="1"/>
      </w:tblPr>
      <w:tblGrid>
        <w:gridCol w:w="1234"/>
        <w:gridCol w:w="6132"/>
        <w:gridCol w:w="1134"/>
        <w:gridCol w:w="1281"/>
      </w:tblGrid>
      <w:tr w:rsidR="00EF3F24" w:rsidRPr="00CE32FE" w14:paraId="4EBF5C24" w14:textId="77777777" w:rsidTr="00EF3F24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4C6B7ADB" w14:textId="77777777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18"/>
                <w:lang w:eastAsia="pt-BR"/>
              </w:rPr>
              <w:t>Contratação Opcional?</w:t>
            </w:r>
          </w:p>
        </w:tc>
        <w:tc>
          <w:tcPr>
            <w:tcW w:w="6132" w:type="dxa"/>
            <w:shd w:val="clear" w:color="auto" w:fill="297FD5" w:themeFill="accent3"/>
            <w:vAlign w:val="center"/>
            <w:hideMark/>
          </w:tcPr>
          <w:p w14:paraId="5254F694" w14:textId="77777777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18"/>
                <w:lang w:eastAsia="pt-BR"/>
              </w:rPr>
              <w:t>Atividades</w:t>
            </w:r>
          </w:p>
        </w:tc>
        <w:tc>
          <w:tcPr>
            <w:tcW w:w="1134" w:type="dxa"/>
            <w:shd w:val="clear" w:color="auto" w:fill="297FD5" w:themeFill="accent3"/>
            <w:vAlign w:val="center"/>
            <w:hideMark/>
          </w:tcPr>
          <w:p w14:paraId="20846F7F" w14:textId="3B2F6B30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281" w:type="dxa"/>
            <w:shd w:val="clear" w:color="auto" w:fill="297FD5" w:themeFill="accent3"/>
            <w:vAlign w:val="center"/>
            <w:hideMark/>
          </w:tcPr>
          <w:p w14:paraId="13B62BEA" w14:textId="3938C31B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AE4D10" w:rsidRPr="00CE32FE" w14:paraId="34BC820C" w14:textId="77777777" w:rsidTr="00EF3F24">
        <w:trPr>
          <w:trHeight w:val="315"/>
        </w:trPr>
        <w:tc>
          <w:tcPr>
            <w:tcW w:w="1234" w:type="dxa"/>
          </w:tcPr>
          <w:p w14:paraId="1E3EAA65" w14:textId="77777777" w:rsidR="00AE4D10" w:rsidRPr="00207DE5" w:rsidRDefault="00AE4D10" w:rsidP="00DF6750">
            <w:pPr>
              <w:jc w:val="center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18"/>
                <w:lang w:eastAsia="pt-BR"/>
              </w:rPr>
              <w:t>Não</w:t>
            </w:r>
          </w:p>
        </w:tc>
        <w:tc>
          <w:tcPr>
            <w:tcW w:w="6132" w:type="dxa"/>
          </w:tcPr>
          <w:p w14:paraId="651BABF2" w14:textId="77777777" w:rsidR="00AE4D10" w:rsidRPr="00194001" w:rsidRDefault="00AE4D10" w:rsidP="00DF6750">
            <w:pPr>
              <w:jc w:val="left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Abertura e acompanhamento de chamados junto ao fabricante</w:t>
            </w:r>
          </w:p>
        </w:tc>
        <w:tc>
          <w:tcPr>
            <w:tcW w:w="1134" w:type="dxa"/>
          </w:tcPr>
          <w:p w14:paraId="71A05926" w14:textId="77777777" w:rsidR="00AE4D10" w:rsidRPr="001E67A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81" w:type="dxa"/>
          </w:tcPr>
          <w:p w14:paraId="2F88F8C6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  <w:tr w:rsidR="00AE4D10" w:rsidRPr="00CE32FE" w14:paraId="50EFFD00" w14:textId="77777777" w:rsidTr="00EF3F24">
        <w:trPr>
          <w:trHeight w:val="315"/>
        </w:trPr>
        <w:tc>
          <w:tcPr>
            <w:tcW w:w="1234" w:type="dxa"/>
          </w:tcPr>
          <w:p w14:paraId="3ED5D017" w14:textId="77777777" w:rsidR="00AE4D10" w:rsidRPr="00207DE5" w:rsidRDefault="00AE4D10" w:rsidP="00DF6750">
            <w:pPr>
              <w:jc w:val="center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18"/>
                <w:lang w:eastAsia="pt-BR"/>
              </w:rPr>
              <w:t>Não</w:t>
            </w:r>
          </w:p>
        </w:tc>
        <w:tc>
          <w:tcPr>
            <w:tcW w:w="6132" w:type="dxa"/>
          </w:tcPr>
          <w:p w14:paraId="2B9CD201" w14:textId="77777777" w:rsidR="00AE4D10" w:rsidRPr="00194001" w:rsidRDefault="00AE4D10" w:rsidP="00DF6750">
            <w:pPr>
              <w:jc w:val="left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Informar os registros</w:t>
            </w:r>
            <w:r w:rsidRPr="00194001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de DNS que precisar ser criados ou alterados</w:t>
            </w:r>
          </w:p>
        </w:tc>
        <w:tc>
          <w:tcPr>
            <w:tcW w:w="1134" w:type="dxa"/>
          </w:tcPr>
          <w:p w14:paraId="3A314D6D" w14:textId="77777777" w:rsidR="00AE4D10" w:rsidRPr="001E67A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  <w:tc>
          <w:tcPr>
            <w:tcW w:w="1281" w:type="dxa"/>
          </w:tcPr>
          <w:p w14:paraId="10741901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  <w:tr w:rsidR="00AE4D10" w:rsidRPr="00CE32FE" w14:paraId="5F835B5D" w14:textId="77777777" w:rsidTr="00EF3F24">
        <w:trPr>
          <w:trHeight w:val="315"/>
        </w:trPr>
        <w:tc>
          <w:tcPr>
            <w:tcW w:w="1234" w:type="dxa"/>
          </w:tcPr>
          <w:p w14:paraId="21C9C756" w14:textId="1A0EC2C5" w:rsidR="00AE4D10" w:rsidRPr="00207DE5" w:rsidRDefault="00E210A2" w:rsidP="00DF6750">
            <w:pPr>
              <w:jc w:val="center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18"/>
                <w:lang w:eastAsia="pt-BR"/>
              </w:rPr>
              <w:t>Sim</w:t>
            </w:r>
          </w:p>
        </w:tc>
        <w:tc>
          <w:tcPr>
            <w:tcW w:w="6132" w:type="dxa"/>
          </w:tcPr>
          <w:p w14:paraId="54F0FC04" w14:textId="17809B95" w:rsidR="00AE4D10" w:rsidRPr="00194001" w:rsidRDefault="00AE4D10" w:rsidP="00DF6750">
            <w:pPr>
              <w:jc w:val="left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Configuração dos serviços de DNS</w:t>
            </w:r>
            <w:r w:rsidR="00E210A2">
              <w:rPr>
                <w:rFonts w:ascii="Calibri" w:hAnsi="Calibri" w:cstheme="minorHAnsi"/>
                <w:color w:val="000000"/>
                <w:szCs w:val="20"/>
                <w:lang w:eastAsia="pt-BR"/>
              </w:rPr>
              <w:t>*</w:t>
            </w:r>
          </w:p>
        </w:tc>
        <w:tc>
          <w:tcPr>
            <w:tcW w:w="1134" w:type="dxa"/>
          </w:tcPr>
          <w:p w14:paraId="3C01141F" w14:textId="77777777" w:rsidR="00AE4D10" w:rsidRPr="001E67A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  <w:tc>
          <w:tcPr>
            <w:tcW w:w="1281" w:type="dxa"/>
          </w:tcPr>
          <w:p w14:paraId="106DCDF8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  <w:tr w:rsidR="00AE4D10" w:rsidRPr="00CE32FE" w14:paraId="40530C2E" w14:textId="77777777" w:rsidTr="00EF3F24">
        <w:trPr>
          <w:trHeight w:val="315"/>
        </w:trPr>
        <w:tc>
          <w:tcPr>
            <w:tcW w:w="1234" w:type="dxa"/>
          </w:tcPr>
          <w:p w14:paraId="4D54E86F" w14:textId="537E038B" w:rsidR="00AE4D10" w:rsidRPr="00207DE5" w:rsidRDefault="000E13D2" w:rsidP="00DF6750">
            <w:pPr>
              <w:jc w:val="center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18"/>
                <w:lang w:eastAsia="pt-BR"/>
              </w:rPr>
              <w:t>NÃO</w:t>
            </w:r>
          </w:p>
        </w:tc>
        <w:tc>
          <w:tcPr>
            <w:tcW w:w="6132" w:type="dxa"/>
          </w:tcPr>
          <w:p w14:paraId="4D65C882" w14:textId="26FDA754" w:rsidR="00AE4D10" w:rsidRPr="00194001" w:rsidRDefault="00AE4D10">
            <w:pPr>
              <w:jc w:val="left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Configurar o sincronismo do AD (AD Connect) no</w:t>
            </w:r>
            <w:r w:rsidR="00CF7B40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novo ambiente</w:t>
            </w: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</w:t>
            </w:r>
            <w:r w:rsidR="00CF7B40">
              <w:rPr>
                <w:rFonts w:ascii="Calibri" w:hAnsi="Calibri" w:cstheme="minorHAnsi"/>
                <w:color w:val="000000"/>
                <w:szCs w:val="20"/>
                <w:lang w:eastAsia="pt-BR"/>
              </w:rPr>
              <w:t>(</w:t>
            </w:r>
            <w:proofErr w:type="spellStart"/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tenant</w:t>
            </w:r>
            <w:proofErr w:type="spellEnd"/>
            <w:r w:rsidR="00CF7B40">
              <w:rPr>
                <w:rFonts w:ascii="Calibri" w:hAnsi="Calibri" w:cstheme="minorHAnsi"/>
                <w:color w:val="000000"/>
                <w:szCs w:val="20"/>
                <w:lang w:eastAsia="pt-BR"/>
              </w:rPr>
              <w:t>)</w:t>
            </w: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14:paraId="54CA096E" w14:textId="77777777" w:rsidR="00AE4D10" w:rsidRPr="001E67A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81" w:type="dxa"/>
          </w:tcPr>
          <w:p w14:paraId="65D89182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  <w:tr w:rsidR="00AE4D10" w:rsidRPr="00CE32FE" w14:paraId="4634A31D" w14:textId="77777777" w:rsidTr="00EF3F24">
        <w:trPr>
          <w:trHeight w:val="315"/>
        </w:trPr>
        <w:tc>
          <w:tcPr>
            <w:tcW w:w="1234" w:type="dxa"/>
          </w:tcPr>
          <w:p w14:paraId="4D072663" w14:textId="77777777" w:rsidR="00AE4D10" w:rsidRPr="00207DE5" w:rsidRDefault="00AE4D10" w:rsidP="00DF6750">
            <w:pPr>
              <w:jc w:val="center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18"/>
                <w:lang w:eastAsia="pt-BR"/>
              </w:rPr>
              <w:t>Não</w:t>
            </w:r>
          </w:p>
        </w:tc>
        <w:tc>
          <w:tcPr>
            <w:tcW w:w="6132" w:type="dxa"/>
          </w:tcPr>
          <w:p w14:paraId="26589077" w14:textId="695F6CF1" w:rsidR="00AE4D10" w:rsidRPr="00346ED2" w:rsidRDefault="00AE4D10" w:rsidP="00DF6750">
            <w:pPr>
              <w:jc w:val="left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346ED2">
              <w:rPr>
                <w:rFonts w:ascii="Calibri" w:hAnsi="Calibri" w:cstheme="minorHAnsi"/>
                <w:color w:val="000000"/>
                <w:szCs w:val="20"/>
                <w:lang w:eastAsia="pt-BR"/>
              </w:rPr>
              <w:t>Configurar o sincronismo do AD (AD</w:t>
            </w:r>
            <w:r w:rsidR="00EF3F24" w:rsidRPr="00346ED2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Connect) no ambiente </w:t>
            </w:r>
            <w:r w:rsidR="00CF7B40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atual </w:t>
            </w:r>
            <w:r w:rsidR="00EF3F24" w:rsidRPr="00346ED2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do </w:t>
            </w:r>
            <w:r w:rsidR="00EF3F24" w:rsidRPr="00346ED2">
              <w:rPr>
                <w:rFonts w:ascii="Calibri" w:hAnsi="Calibri" w:cstheme="minorHAnsi"/>
                <w:b/>
                <w:color w:val="000000"/>
                <w:szCs w:val="20"/>
                <w:lang w:eastAsia="pt-BR"/>
              </w:rPr>
              <w:t>CLIENTE</w:t>
            </w:r>
          </w:p>
        </w:tc>
        <w:tc>
          <w:tcPr>
            <w:tcW w:w="1134" w:type="dxa"/>
          </w:tcPr>
          <w:p w14:paraId="2EAAD94F" w14:textId="179FA1F0" w:rsidR="00AE4D10" w:rsidRPr="001E67AE" w:rsidRDefault="00530B01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S</w:t>
            </w:r>
          </w:p>
        </w:tc>
        <w:tc>
          <w:tcPr>
            <w:tcW w:w="1281" w:type="dxa"/>
          </w:tcPr>
          <w:p w14:paraId="6B5F6864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  <w:tr w:rsidR="00AE4D10" w:rsidRPr="00CE32FE" w14:paraId="1D720E29" w14:textId="77777777" w:rsidTr="00EF3F24">
        <w:trPr>
          <w:trHeight w:val="315"/>
        </w:trPr>
        <w:tc>
          <w:tcPr>
            <w:tcW w:w="1234" w:type="dxa"/>
          </w:tcPr>
          <w:p w14:paraId="6C6260D4" w14:textId="77777777" w:rsidR="00AE4D10" w:rsidRPr="00207DE5" w:rsidRDefault="00AE4D10" w:rsidP="00DF6750">
            <w:pPr>
              <w:jc w:val="center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18"/>
                <w:lang w:eastAsia="pt-BR"/>
              </w:rPr>
              <w:t>Não</w:t>
            </w:r>
          </w:p>
        </w:tc>
        <w:tc>
          <w:tcPr>
            <w:tcW w:w="6132" w:type="dxa"/>
          </w:tcPr>
          <w:p w14:paraId="1529A84B" w14:textId="4352BE95" w:rsidR="00AE4D10" w:rsidRPr="006B615D" w:rsidRDefault="00AE4D10" w:rsidP="00CF7B40">
            <w:pPr>
              <w:jc w:val="left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6B615D">
              <w:rPr>
                <w:rFonts w:ascii="Calibri" w:hAnsi="Calibri" w:cstheme="minorHAnsi"/>
                <w:color w:val="000000"/>
                <w:szCs w:val="20"/>
                <w:lang w:eastAsia="pt-BR"/>
              </w:rPr>
              <w:t>Configurar a Federação do AD no</w:t>
            </w:r>
            <w:r w:rsidR="00CF7B40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novo ambiente (</w:t>
            </w:r>
            <w:proofErr w:type="spellStart"/>
            <w:r w:rsidRPr="006B615D">
              <w:rPr>
                <w:rFonts w:ascii="Calibri" w:hAnsi="Calibri" w:cstheme="minorHAnsi"/>
                <w:color w:val="000000"/>
                <w:szCs w:val="20"/>
                <w:lang w:eastAsia="pt-BR"/>
              </w:rPr>
              <w:t>tenant</w:t>
            </w:r>
            <w:proofErr w:type="spellEnd"/>
            <w:r w:rsidR="00CF7B40">
              <w:rPr>
                <w:rFonts w:ascii="Calibri" w:hAnsi="Calibri" w:cstheme="minorHAnsi"/>
                <w:color w:val="000000"/>
                <w:szCs w:val="20"/>
                <w:lang w:eastAsia="pt-BR"/>
              </w:rPr>
              <w:t>)</w:t>
            </w:r>
            <w:r w:rsidRPr="006B615D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14:paraId="7A2A01B6" w14:textId="77777777" w:rsidR="00AE4D10" w:rsidRPr="001E67A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81" w:type="dxa"/>
          </w:tcPr>
          <w:p w14:paraId="3890935C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  <w:tr w:rsidR="00AE4D10" w:rsidRPr="00CE32FE" w14:paraId="10C8572C" w14:textId="77777777" w:rsidTr="00EF3F24">
        <w:trPr>
          <w:trHeight w:val="315"/>
        </w:trPr>
        <w:tc>
          <w:tcPr>
            <w:tcW w:w="1234" w:type="dxa"/>
          </w:tcPr>
          <w:p w14:paraId="3B95F74A" w14:textId="77777777" w:rsidR="00AE4D10" w:rsidRPr="00207DE5" w:rsidRDefault="00AE4D10" w:rsidP="00DF6750">
            <w:pPr>
              <w:jc w:val="center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18"/>
                <w:lang w:eastAsia="pt-BR"/>
              </w:rPr>
              <w:t>Não</w:t>
            </w:r>
          </w:p>
        </w:tc>
        <w:tc>
          <w:tcPr>
            <w:tcW w:w="6132" w:type="dxa"/>
          </w:tcPr>
          <w:p w14:paraId="033C94CC" w14:textId="7E2D0D44" w:rsidR="00AE4D10" w:rsidRPr="006B615D" w:rsidRDefault="00AE4D10" w:rsidP="00DF6750">
            <w:pPr>
              <w:jc w:val="left"/>
              <w:rPr>
                <w:rFonts w:ascii="Calibri" w:hAnsi="Calibri" w:cs="Calibri"/>
                <w:color w:val="000000"/>
                <w:szCs w:val="18"/>
                <w:lang w:eastAsia="pt-BR"/>
              </w:rPr>
            </w:pPr>
            <w:r w:rsidRPr="00346ED2">
              <w:rPr>
                <w:rFonts w:ascii="Calibri" w:hAnsi="Calibri" w:cstheme="minorHAnsi"/>
                <w:color w:val="000000"/>
                <w:szCs w:val="20"/>
                <w:lang w:eastAsia="pt-BR"/>
              </w:rPr>
              <w:t>Configurar a Federa</w:t>
            </w:r>
            <w:r w:rsidR="00EF3F24" w:rsidRPr="00346ED2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ção do AD no ambiente </w:t>
            </w:r>
            <w:r w:rsidR="00CF7B40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atual </w:t>
            </w:r>
            <w:r w:rsidR="00EF3F24" w:rsidRPr="00346ED2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do </w:t>
            </w:r>
            <w:r w:rsidR="00EF3F24" w:rsidRPr="00346ED2">
              <w:rPr>
                <w:rFonts w:ascii="Calibri" w:hAnsi="Calibri" w:cstheme="minorHAnsi"/>
                <w:b/>
                <w:color w:val="000000"/>
                <w:szCs w:val="20"/>
                <w:lang w:eastAsia="pt-BR"/>
              </w:rPr>
              <w:t>CLIENTE</w:t>
            </w:r>
          </w:p>
        </w:tc>
        <w:tc>
          <w:tcPr>
            <w:tcW w:w="1134" w:type="dxa"/>
          </w:tcPr>
          <w:p w14:paraId="46251174" w14:textId="61D35C85" w:rsidR="00AE4D10" w:rsidRPr="001E67AE" w:rsidRDefault="00530B01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S</w:t>
            </w:r>
          </w:p>
        </w:tc>
        <w:tc>
          <w:tcPr>
            <w:tcW w:w="1281" w:type="dxa"/>
          </w:tcPr>
          <w:p w14:paraId="171B6397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</w:tbl>
    <w:p w14:paraId="6FF0DEBA" w14:textId="2A14AC3F" w:rsidR="00E210A2" w:rsidRPr="00E7619C" w:rsidRDefault="00E210A2" w:rsidP="00E7619C">
      <w:pPr>
        <w:spacing w:before="240" w:line="276" w:lineRule="auto"/>
        <w:rPr>
          <w:rFonts w:ascii="Calibri" w:eastAsiaTheme="minorHAnsi" w:hAnsi="Calibri"/>
          <w:sz w:val="22"/>
          <w:szCs w:val="22"/>
          <w:lang w:eastAsia="en-US"/>
        </w:rPr>
      </w:pPr>
      <w:r w:rsidRPr="00E7619C">
        <w:rPr>
          <w:rFonts w:ascii="Calibri" w:eastAsiaTheme="minorHAnsi" w:hAnsi="Calibri"/>
          <w:sz w:val="22"/>
          <w:szCs w:val="22"/>
          <w:lang w:eastAsia="en-US"/>
        </w:rPr>
        <w:t xml:space="preserve">* Caso o </w:t>
      </w:r>
      <w:r w:rsidR="00E7619C" w:rsidRPr="00E7619C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E7619C">
        <w:rPr>
          <w:rFonts w:ascii="Calibri" w:eastAsiaTheme="minorHAnsi" w:hAnsi="Calibri"/>
          <w:sz w:val="22"/>
          <w:szCs w:val="22"/>
          <w:lang w:eastAsia="en-US"/>
        </w:rPr>
        <w:t xml:space="preserve"> contrate o serviço de suporte ao DNS, a </w:t>
      </w:r>
      <w:r w:rsidRPr="00E7619C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E7619C">
        <w:rPr>
          <w:rFonts w:ascii="Calibri" w:eastAsiaTheme="minorHAnsi" w:hAnsi="Calibri"/>
          <w:sz w:val="22"/>
          <w:szCs w:val="22"/>
          <w:lang w:eastAsia="en-US"/>
        </w:rPr>
        <w:t xml:space="preserve"> será responsável pela instalação e </w:t>
      </w:r>
      <w:r w:rsidR="00A06A7C">
        <w:rPr>
          <w:rFonts w:ascii="Calibri" w:eastAsiaTheme="minorHAnsi" w:hAnsi="Calibri"/>
          <w:sz w:val="22"/>
          <w:szCs w:val="22"/>
          <w:lang w:eastAsia="en-US"/>
        </w:rPr>
        <w:t>configuração.</w:t>
      </w:r>
    </w:p>
    <w:p w14:paraId="173560BB" w14:textId="0D998318" w:rsidR="00AE4D10" w:rsidRPr="00CE32FE" w:rsidRDefault="00AE4D10" w:rsidP="00F60DE3">
      <w:pPr>
        <w:pStyle w:val="Titulo2"/>
      </w:pPr>
      <w:bookmarkStart w:id="126" w:name="_Toc170327031"/>
      <w:r w:rsidRPr="00CE32FE">
        <w:t>Matriz de Responsabilidade – Administração do Ambiente</w:t>
      </w:r>
      <w:bookmarkEnd w:id="126"/>
    </w:p>
    <w:tbl>
      <w:tblPr>
        <w:tblStyle w:val="TabeladeGradeClara"/>
        <w:tblW w:w="9781" w:type="dxa"/>
        <w:tblLook w:val="04A0" w:firstRow="1" w:lastRow="0" w:firstColumn="1" w:lastColumn="0" w:noHBand="0" w:noVBand="1"/>
      </w:tblPr>
      <w:tblGrid>
        <w:gridCol w:w="1234"/>
        <w:gridCol w:w="6150"/>
        <w:gridCol w:w="1128"/>
        <w:gridCol w:w="1269"/>
      </w:tblGrid>
      <w:tr w:rsidR="00EF3F24" w:rsidRPr="00CE32FE" w14:paraId="6E5CEA94" w14:textId="77777777" w:rsidTr="00DA1FB6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6BA5068B" w14:textId="77777777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Contratação Opcional?</w:t>
            </w:r>
          </w:p>
        </w:tc>
        <w:tc>
          <w:tcPr>
            <w:tcW w:w="6150" w:type="dxa"/>
            <w:shd w:val="clear" w:color="auto" w:fill="297FD5" w:themeFill="accent3"/>
            <w:vAlign w:val="center"/>
            <w:hideMark/>
          </w:tcPr>
          <w:p w14:paraId="34F9028D" w14:textId="77777777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1128" w:type="dxa"/>
            <w:shd w:val="clear" w:color="auto" w:fill="297FD5" w:themeFill="accent3"/>
            <w:vAlign w:val="center"/>
            <w:hideMark/>
          </w:tcPr>
          <w:p w14:paraId="4FE39F08" w14:textId="03E0D947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269" w:type="dxa"/>
            <w:shd w:val="clear" w:color="auto" w:fill="297FD5" w:themeFill="accent3"/>
            <w:vAlign w:val="center"/>
            <w:hideMark/>
          </w:tcPr>
          <w:p w14:paraId="6A58DE81" w14:textId="59FC3E9A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AE4D10" w:rsidRPr="00CE32FE" w14:paraId="055C6AA0" w14:textId="77777777" w:rsidTr="00DA1FB6">
        <w:trPr>
          <w:trHeight w:val="315"/>
        </w:trPr>
        <w:tc>
          <w:tcPr>
            <w:tcW w:w="1234" w:type="dxa"/>
          </w:tcPr>
          <w:p w14:paraId="7DA0294C" w14:textId="77777777" w:rsidR="00AE4D10" w:rsidRPr="00CE32F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045D3A6E" w14:textId="52230D59" w:rsidR="00AE4D10" w:rsidRPr="00A80BF4" w:rsidRDefault="00AE4D10" w:rsidP="00530B01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Acesso ao painel administrativo </w:t>
            </w:r>
          </w:p>
        </w:tc>
        <w:tc>
          <w:tcPr>
            <w:tcW w:w="1128" w:type="dxa"/>
          </w:tcPr>
          <w:p w14:paraId="07973E25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69" w:type="dxa"/>
          </w:tcPr>
          <w:p w14:paraId="5037BD0D" w14:textId="4A06021E" w:rsidR="00AE4D10" w:rsidRPr="00CE32FE" w:rsidRDefault="00530B01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  <w:r w:rsidR="00AE4D10"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 </w:t>
            </w:r>
          </w:p>
        </w:tc>
      </w:tr>
      <w:tr w:rsidR="00AE4D10" w:rsidRPr="00CE32FE" w14:paraId="67DE22CA" w14:textId="77777777" w:rsidTr="00DA1FB6">
        <w:trPr>
          <w:trHeight w:val="315"/>
        </w:trPr>
        <w:tc>
          <w:tcPr>
            <w:tcW w:w="1234" w:type="dxa"/>
          </w:tcPr>
          <w:p w14:paraId="457339DE" w14:textId="77777777" w:rsidR="00AE4D10" w:rsidRPr="00CE32F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707FC6E6" w14:textId="7F2891E8" w:rsidR="00AE4D10" w:rsidRPr="00A80BF4" w:rsidRDefault="00AE4D10" w:rsidP="00530B01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 xml:space="preserve">Gerenciamento do portal </w:t>
            </w:r>
          </w:p>
        </w:tc>
        <w:tc>
          <w:tcPr>
            <w:tcW w:w="1128" w:type="dxa"/>
          </w:tcPr>
          <w:p w14:paraId="70FE49CE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269" w:type="dxa"/>
          </w:tcPr>
          <w:p w14:paraId="66626589" w14:textId="77777777" w:rsidR="00AE4D10" w:rsidRPr="00CE32F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S/I</w:t>
            </w:r>
          </w:p>
        </w:tc>
      </w:tr>
      <w:tr w:rsidR="00AE4D10" w:rsidRPr="00CE32FE" w14:paraId="73EE3337" w14:textId="77777777" w:rsidTr="00DA1FB6">
        <w:trPr>
          <w:trHeight w:val="315"/>
        </w:trPr>
        <w:tc>
          <w:tcPr>
            <w:tcW w:w="1234" w:type="dxa"/>
          </w:tcPr>
          <w:p w14:paraId="4FE9A069" w14:textId="77777777" w:rsidR="00AE4D10" w:rsidRPr="00CE32F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0" w:type="dxa"/>
          </w:tcPr>
          <w:p w14:paraId="50BBADBE" w14:textId="77777777" w:rsidR="00AE4D10" w:rsidRPr="001E67AE" w:rsidRDefault="00AE4D10" w:rsidP="00DF6750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E67AE">
              <w:rPr>
                <w:rFonts w:ascii="Calibri" w:hAnsi="Calibri" w:cstheme="minorHAnsi"/>
                <w:color w:val="000000"/>
                <w:szCs w:val="20"/>
                <w:lang w:eastAsia="pt-BR"/>
              </w:rPr>
              <w:t>Responsabilidade pelos conteúdos e dados armazenados</w:t>
            </w:r>
          </w:p>
        </w:tc>
        <w:tc>
          <w:tcPr>
            <w:tcW w:w="1128" w:type="dxa"/>
          </w:tcPr>
          <w:p w14:paraId="4B052472" w14:textId="77777777" w:rsidR="00AE4D10" w:rsidRPr="00203795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203795">
              <w:rPr>
                <w:rFonts w:ascii="Calibri" w:hAnsi="Calibri" w:cstheme="minorHAnsi"/>
                <w:color w:val="000000"/>
                <w:szCs w:val="20"/>
                <w:lang w:eastAsia="pt-BR"/>
              </w:rPr>
              <w:t> I</w:t>
            </w:r>
          </w:p>
        </w:tc>
        <w:tc>
          <w:tcPr>
            <w:tcW w:w="1269" w:type="dxa"/>
          </w:tcPr>
          <w:p w14:paraId="1F53FBC3" w14:textId="77777777" w:rsidR="00AE4D10" w:rsidRPr="00CE32F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</w:tbl>
    <w:p w14:paraId="341FF9C7" w14:textId="72E0192B" w:rsidR="00AE4D10" w:rsidRPr="00CE32FE" w:rsidRDefault="00AE4D10" w:rsidP="00F60DE3">
      <w:pPr>
        <w:pStyle w:val="Titulo2"/>
      </w:pPr>
      <w:bookmarkStart w:id="127" w:name="_Toc170327032"/>
      <w:r w:rsidRPr="00CE32FE">
        <w:t>Matriz de Responsabilidade – Suporte</w:t>
      </w:r>
      <w:bookmarkEnd w:id="127"/>
    </w:p>
    <w:tbl>
      <w:tblPr>
        <w:tblStyle w:val="TabeladeGradeClara"/>
        <w:tblW w:w="9923" w:type="dxa"/>
        <w:tblLook w:val="04A0" w:firstRow="1" w:lastRow="0" w:firstColumn="1" w:lastColumn="0" w:noHBand="0" w:noVBand="1"/>
      </w:tblPr>
      <w:tblGrid>
        <w:gridCol w:w="1234"/>
        <w:gridCol w:w="6154"/>
        <w:gridCol w:w="1127"/>
        <w:gridCol w:w="1408"/>
      </w:tblGrid>
      <w:tr w:rsidR="00EF3F24" w:rsidRPr="00CE32FE" w14:paraId="31EB9C1C" w14:textId="77777777" w:rsidTr="00EF3F24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4AFEEC88" w14:textId="77777777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Contratação Opcional?</w:t>
            </w:r>
          </w:p>
        </w:tc>
        <w:tc>
          <w:tcPr>
            <w:tcW w:w="6154" w:type="dxa"/>
            <w:shd w:val="clear" w:color="auto" w:fill="297FD5" w:themeFill="accent3"/>
            <w:vAlign w:val="center"/>
            <w:hideMark/>
          </w:tcPr>
          <w:p w14:paraId="30C4FEBD" w14:textId="77777777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Atividades</w:t>
            </w:r>
          </w:p>
        </w:tc>
        <w:tc>
          <w:tcPr>
            <w:tcW w:w="1127" w:type="dxa"/>
            <w:shd w:val="clear" w:color="auto" w:fill="297FD5" w:themeFill="accent3"/>
            <w:vAlign w:val="center"/>
            <w:hideMark/>
          </w:tcPr>
          <w:p w14:paraId="106D70A1" w14:textId="14BFBE1D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SONDA</w:t>
            </w:r>
          </w:p>
        </w:tc>
        <w:tc>
          <w:tcPr>
            <w:tcW w:w="1408" w:type="dxa"/>
            <w:shd w:val="clear" w:color="auto" w:fill="297FD5" w:themeFill="accent3"/>
            <w:vAlign w:val="center"/>
            <w:hideMark/>
          </w:tcPr>
          <w:p w14:paraId="51868D67" w14:textId="12ED195F" w:rsidR="00EF3F24" w:rsidRPr="00207DE5" w:rsidRDefault="00EF3F24" w:rsidP="00EF3F24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</w:pPr>
            <w:r w:rsidRPr="00207DE5">
              <w:rPr>
                <w:rFonts w:ascii="Calibri" w:hAnsi="Calibri" w:cs="Calibri"/>
                <w:b/>
                <w:color w:val="FFFFFF"/>
                <w:szCs w:val="20"/>
                <w:lang w:eastAsia="pt-BR"/>
              </w:rPr>
              <w:t>CLIENTE</w:t>
            </w:r>
          </w:p>
        </w:tc>
      </w:tr>
      <w:tr w:rsidR="00AE4D10" w:rsidRPr="00CE32FE" w14:paraId="64BB0EB2" w14:textId="77777777" w:rsidTr="00EF3F24">
        <w:trPr>
          <w:trHeight w:val="315"/>
        </w:trPr>
        <w:tc>
          <w:tcPr>
            <w:tcW w:w="1234" w:type="dxa"/>
          </w:tcPr>
          <w:p w14:paraId="36D0A308" w14:textId="77777777" w:rsidR="00AE4D10" w:rsidRPr="00CE32F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7D0B40F8" w14:textId="77777777" w:rsidR="00AE4D10" w:rsidRPr="00CE32FE" w:rsidRDefault="00AE4D10" w:rsidP="00DF6750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Ferramenta para abertura de chamados em regime 24x7, com tempo de resposta conforme níveis de serviço contratado</w:t>
            </w:r>
          </w:p>
        </w:tc>
        <w:tc>
          <w:tcPr>
            <w:tcW w:w="1127" w:type="dxa"/>
          </w:tcPr>
          <w:p w14:paraId="33C86CD8" w14:textId="77777777" w:rsidR="00AE4D10" w:rsidRPr="00CE32F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2B0472F6" w14:textId="77777777" w:rsidR="00AE4D10" w:rsidRPr="00CE32FE" w:rsidRDefault="00AE4D1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theme="minorHAnsi"/>
                <w:color w:val="000000"/>
                <w:szCs w:val="20"/>
                <w:lang w:eastAsia="pt-BR"/>
              </w:rPr>
              <w:t>I </w:t>
            </w:r>
          </w:p>
        </w:tc>
      </w:tr>
      <w:tr w:rsidR="00CF7B40" w:rsidRPr="00CE32FE" w14:paraId="06BAC064" w14:textId="77777777" w:rsidTr="00EF3F24">
        <w:trPr>
          <w:trHeight w:val="315"/>
        </w:trPr>
        <w:tc>
          <w:tcPr>
            <w:tcW w:w="1234" w:type="dxa"/>
          </w:tcPr>
          <w:p w14:paraId="1623A8A6" w14:textId="02A9E3E6" w:rsidR="00CF7B40" w:rsidRPr="00CE32FE" w:rsidRDefault="00CF7B4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7109B720" w14:textId="72DA1266" w:rsidR="00CF7B40" w:rsidRPr="00CE32FE" w:rsidRDefault="00CF7B40" w:rsidP="00DF6750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Escalonamento ou acionamento do provedor do serviço de colaboração para tratativa de incidentes ou falhas na plataforma</w:t>
            </w:r>
          </w:p>
        </w:tc>
        <w:tc>
          <w:tcPr>
            <w:tcW w:w="1127" w:type="dxa"/>
          </w:tcPr>
          <w:p w14:paraId="1CC34A20" w14:textId="3ED5E6A2" w:rsidR="00CF7B40" w:rsidRPr="00CE32FE" w:rsidRDefault="00CF7B4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0AFF7F13" w14:textId="6E5C5C5E" w:rsidR="00CF7B40" w:rsidRPr="00CE32FE" w:rsidRDefault="00CF7B4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  <w:tr w:rsidR="00CF7B40" w:rsidRPr="00CE32FE" w14:paraId="10F6A784" w14:textId="77777777" w:rsidTr="00EF3F24">
        <w:trPr>
          <w:trHeight w:val="315"/>
        </w:trPr>
        <w:tc>
          <w:tcPr>
            <w:tcW w:w="1234" w:type="dxa"/>
          </w:tcPr>
          <w:p w14:paraId="22BD5D95" w14:textId="556534C2" w:rsidR="00CF7B40" w:rsidRDefault="00CF7B4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55BBE895" w14:textId="2D0AA1B5" w:rsidR="00CF7B40" w:rsidRDefault="00CF7B40" w:rsidP="00DF6750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Atendimento de requisições de serviços, conforme previsto neste documento.</w:t>
            </w:r>
          </w:p>
        </w:tc>
        <w:tc>
          <w:tcPr>
            <w:tcW w:w="1127" w:type="dxa"/>
          </w:tcPr>
          <w:p w14:paraId="24D67299" w14:textId="22183C81" w:rsidR="00CF7B40" w:rsidRDefault="00CF7B4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51F72296" w14:textId="237A3F80" w:rsidR="00CF7B40" w:rsidRDefault="00CF7B40" w:rsidP="00DF6750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</w:tbl>
    <w:p w14:paraId="1CD25CE0" w14:textId="2E881B20" w:rsidR="00A34D79" w:rsidRPr="00CE32FE" w:rsidRDefault="00A34D79" w:rsidP="00A34D79"/>
    <w:p w14:paraId="36855C30" w14:textId="16134202" w:rsidR="00AE4D10" w:rsidRPr="00207DE5" w:rsidRDefault="00AE4D10" w:rsidP="00DF0A90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Nota: N</w:t>
      </w:r>
      <w:r w:rsidR="00EF3F24" w:rsidRPr="00207DE5">
        <w:rPr>
          <w:rFonts w:ascii="Calibri" w:eastAsiaTheme="minorHAnsi" w:hAnsi="Calibri"/>
          <w:sz w:val="22"/>
          <w:szCs w:val="22"/>
          <w:lang w:eastAsia="en-US"/>
        </w:rPr>
        <w:t>as Matrizes de</w:t>
      </w:r>
      <w:r w:rsidR="00653336" w:rsidRPr="00207DE5">
        <w:rPr>
          <w:rFonts w:ascii="Calibri" w:eastAsiaTheme="minorHAnsi" w:hAnsi="Calibri"/>
          <w:sz w:val="22"/>
          <w:szCs w:val="22"/>
          <w:lang w:eastAsia="en-US"/>
        </w:rPr>
        <w:t xml:space="preserve"> Responsabilidades 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existem atividades </w:t>
      </w:r>
      <w:r w:rsidR="00653336" w:rsidRPr="00207DE5">
        <w:rPr>
          <w:rFonts w:ascii="Calibri" w:eastAsiaTheme="minorHAnsi" w:hAnsi="Calibri"/>
          <w:sz w:val="22"/>
          <w:szCs w:val="22"/>
          <w:lang w:eastAsia="en-US"/>
        </w:rPr>
        <w:t xml:space="preserve">que são opcionais para o </w:t>
      </w:r>
      <w:r w:rsidR="00653336" w:rsidRPr="00207DE5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, ou seja, é permitido ao mesmo que escolha a </w:t>
      </w: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como prestadora do serviço ou um outro parceiro. Para essas atividades a coluna “Contratação</w:t>
      </w:r>
      <w:r w:rsidR="00653336" w:rsidRPr="00207DE5">
        <w:rPr>
          <w:rFonts w:ascii="Calibri" w:eastAsiaTheme="minorHAnsi" w:hAnsi="Calibri"/>
          <w:sz w:val="22"/>
          <w:szCs w:val="22"/>
          <w:lang w:eastAsia="en-US"/>
        </w:rPr>
        <w:t xml:space="preserve"> opcional” é preenchida com “Sim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>”. Portanto, toma-se como premissa, essas atividades como escopo padrão, send</w:t>
      </w:r>
      <w:r w:rsidR="00653336" w:rsidRPr="00207DE5">
        <w:rPr>
          <w:rFonts w:ascii="Calibri" w:eastAsiaTheme="minorHAnsi" w:hAnsi="Calibri"/>
          <w:sz w:val="22"/>
          <w:szCs w:val="22"/>
          <w:lang w:eastAsia="en-US"/>
        </w:rPr>
        <w:t xml:space="preserve">o de responsabilidade do </w:t>
      </w:r>
      <w:r w:rsidR="00653336" w:rsidRPr="00207DE5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sinalizar caso não queira que elas sejam de responsabilidade da </w:t>
      </w:r>
      <w:r w:rsidRPr="00207DE5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>.  </w:t>
      </w:r>
    </w:p>
    <w:p w14:paraId="2CDCD15A" w14:textId="00D698EF" w:rsidR="00A34D79" w:rsidRPr="00CE32FE" w:rsidRDefault="00A34D79" w:rsidP="00A40735">
      <w:pPr>
        <w:pStyle w:val="Titulo1"/>
      </w:pPr>
      <w:bookmarkStart w:id="128" w:name="_Toc170327033"/>
      <w:r w:rsidRPr="00CE32FE">
        <w:t>Requisição de Serviço</w:t>
      </w:r>
      <w:bookmarkEnd w:id="128"/>
    </w:p>
    <w:p w14:paraId="735CE8A9" w14:textId="1F8048BE" w:rsidR="00A34D79" w:rsidRPr="00207DE5" w:rsidRDefault="00AE4D10" w:rsidP="00653336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A tabela abaixo lista as requisições de serviços disponíveis para</w:t>
      </w:r>
      <w:r w:rsidR="00107C44" w:rsidRPr="00207DE5">
        <w:rPr>
          <w:rFonts w:ascii="Calibri" w:eastAsiaTheme="minorHAnsi" w:hAnsi="Calibri"/>
          <w:sz w:val="22"/>
          <w:szCs w:val="22"/>
          <w:lang w:eastAsia="en-US"/>
        </w:rPr>
        <w:t xml:space="preserve"> solicitações dos </w:t>
      </w:r>
      <w:r w:rsidR="00107C44" w:rsidRPr="00207DE5">
        <w:rPr>
          <w:rFonts w:ascii="Calibri" w:eastAsiaTheme="minorHAnsi" w:hAnsi="Calibri"/>
          <w:b/>
          <w:sz w:val="22"/>
          <w:szCs w:val="22"/>
          <w:lang w:eastAsia="en-US"/>
        </w:rPr>
        <w:t>CLIENTES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assim como seu tempo de solução e horário de cobertura.</w:t>
      </w:r>
    </w:p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4428"/>
        <w:gridCol w:w="2132"/>
        <w:gridCol w:w="3500"/>
      </w:tblGrid>
      <w:tr w:rsidR="009D5238" w:rsidRPr="00CE32FE" w14:paraId="2BD8BB03" w14:textId="77777777" w:rsidTr="006A11B6">
        <w:trPr>
          <w:trHeight w:val="660"/>
        </w:trPr>
        <w:tc>
          <w:tcPr>
            <w:tcW w:w="4428" w:type="dxa"/>
            <w:shd w:val="clear" w:color="auto" w:fill="297FD5" w:themeFill="accent3"/>
            <w:vAlign w:val="center"/>
            <w:hideMark/>
          </w:tcPr>
          <w:p w14:paraId="2CEF60DD" w14:textId="77777777" w:rsidR="009D5238" w:rsidRPr="00CE32FE" w:rsidRDefault="009D5238" w:rsidP="00653336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Requisição</w:t>
            </w:r>
          </w:p>
        </w:tc>
        <w:tc>
          <w:tcPr>
            <w:tcW w:w="2132" w:type="dxa"/>
            <w:shd w:val="clear" w:color="auto" w:fill="297FD5" w:themeFill="accent3"/>
            <w:vAlign w:val="center"/>
            <w:hideMark/>
          </w:tcPr>
          <w:p w14:paraId="7663C8E9" w14:textId="4A80431D" w:rsidR="009D5238" w:rsidRPr="00CE32FE" w:rsidRDefault="00303F73" w:rsidP="00653336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 xml:space="preserve">Classificação </w:t>
            </w:r>
          </w:p>
        </w:tc>
        <w:tc>
          <w:tcPr>
            <w:tcW w:w="3500" w:type="dxa"/>
            <w:shd w:val="clear" w:color="auto" w:fill="297FD5" w:themeFill="accent3"/>
            <w:vAlign w:val="center"/>
            <w:hideMark/>
          </w:tcPr>
          <w:p w14:paraId="6D1F8F8C" w14:textId="7ADD2928" w:rsidR="009D5238" w:rsidRPr="00CE32FE" w:rsidRDefault="009D5238" w:rsidP="00653336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b/>
                <w:bCs/>
                <w:color w:val="FFFFFF"/>
                <w:szCs w:val="20"/>
                <w:lang w:eastAsia="pt-BR"/>
              </w:rPr>
              <w:t>Tempo de Solução</w:t>
            </w:r>
          </w:p>
        </w:tc>
      </w:tr>
      <w:tr w:rsidR="006A11B6" w:rsidRPr="00CE32FE" w14:paraId="1CC25206" w14:textId="77777777" w:rsidTr="00207DE5">
        <w:trPr>
          <w:trHeight w:val="315"/>
        </w:trPr>
        <w:tc>
          <w:tcPr>
            <w:tcW w:w="4428" w:type="dxa"/>
            <w:hideMark/>
          </w:tcPr>
          <w:p w14:paraId="348B22C1" w14:textId="77777777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Excluir Caixa de Correio</w:t>
            </w:r>
          </w:p>
        </w:tc>
        <w:tc>
          <w:tcPr>
            <w:tcW w:w="2132" w:type="dxa"/>
            <w:vAlign w:val="center"/>
            <w:hideMark/>
          </w:tcPr>
          <w:p w14:paraId="58C11696" w14:textId="359B972A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3500" w:type="dxa"/>
            <w:hideMark/>
          </w:tcPr>
          <w:p w14:paraId="028C557B" w14:textId="08AFC817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67CFCE94" w14:textId="77777777" w:rsidTr="00207DE5">
        <w:trPr>
          <w:trHeight w:val="315"/>
        </w:trPr>
        <w:tc>
          <w:tcPr>
            <w:tcW w:w="4428" w:type="dxa"/>
            <w:hideMark/>
          </w:tcPr>
          <w:p w14:paraId="65D17EC7" w14:textId="77777777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Liberar acesso a  Caixa de Correio</w:t>
            </w:r>
          </w:p>
        </w:tc>
        <w:tc>
          <w:tcPr>
            <w:tcW w:w="2132" w:type="dxa"/>
            <w:vAlign w:val="center"/>
            <w:hideMark/>
          </w:tcPr>
          <w:p w14:paraId="30F986E3" w14:textId="2D02F8C1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3500" w:type="dxa"/>
            <w:hideMark/>
          </w:tcPr>
          <w:p w14:paraId="6FB89033" w14:textId="23D5B157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6C5B679E" w14:textId="77777777" w:rsidTr="00207DE5">
        <w:trPr>
          <w:trHeight w:val="315"/>
        </w:trPr>
        <w:tc>
          <w:tcPr>
            <w:tcW w:w="4428" w:type="dxa"/>
            <w:hideMark/>
          </w:tcPr>
          <w:p w14:paraId="2A34F369" w14:textId="77777777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Excluir Lista de distribuição</w:t>
            </w:r>
          </w:p>
        </w:tc>
        <w:tc>
          <w:tcPr>
            <w:tcW w:w="2132" w:type="dxa"/>
            <w:vAlign w:val="center"/>
            <w:hideMark/>
          </w:tcPr>
          <w:p w14:paraId="4C6ACF59" w14:textId="660DDD6D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3500" w:type="dxa"/>
            <w:hideMark/>
          </w:tcPr>
          <w:p w14:paraId="38A158C2" w14:textId="3EAF8DFA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30914FE8" w14:textId="77777777" w:rsidTr="00207DE5">
        <w:trPr>
          <w:trHeight w:val="315"/>
        </w:trPr>
        <w:tc>
          <w:tcPr>
            <w:tcW w:w="4428" w:type="dxa"/>
            <w:hideMark/>
          </w:tcPr>
          <w:p w14:paraId="09A2FF47" w14:textId="77777777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Excluir Grupo</w:t>
            </w:r>
          </w:p>
        </w:tc>
        <w:tc>
          <w:tcPr>
            <w:tcW w:w="2132" w:type="dxa"/>
            <w:vAlign w:val="center"/>
            <w:hideMark/>
          </w:tcPr>
          <w:p w14:paraId="4D280967" w14:textId="3CF48C38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3500" w:type="dxa"/>
            <w:hideMark/>
          </w:tcPr>
          <w:p w14:paraId="13FDA09E" w14:textId="7A3EC9EF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45A3B4FB" w14:textId="77777777" w:rsidTr="00207DE5">
        <w:trPr>
          <w:trHeight w:val="315"/>
        </w:trPr>
        <w:tc>
          <w:tcPr>
            <w:tcW w:w="4428" w:type="dxa"/>
            <w:hideMark/>
          </w:tcPr>
          <w:p w14:paraId="51B35491" w14:textId="77777777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Excluir regra de transporte</w:t>
            </w:r>
          </w:p>
        </w:tc>
        <w:tc>
          <w:tcPr>
            <w:tcW w:w="2132" w:type="dxa"/>
            <w:vAlign w:val="center"/>
            <w:hideMark/>
          </w:tcPr>
          <w:p w14:paraId="67C01DFC" w14:textId="0CB41039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3500" w:type="dxa"/>
            <w:hideMark/>
          </w:tcPr>
          <w:p w14:paraId="504B282F" w14:textId="06D4240E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3D8BEE0D" w14:textId="77777777" w:rsidTr="00207DE5">
        <w:trPr>
          <w:trHeight w:val="315"/>
        </w:trPr>
        <w:tc>
          <w:tcPr>
            <w:tcW w:w="4428" w:type="dxa"/>
            <w:hideMark/>
          </w:tcPr>
          <w:p w14:paraId="3462D87A" w14:textId="77777777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Excluir regra de anexo</w:t>
            </w:r>
          </w:p>
        </w:tc>
        <w:tc>
          <w:tcPr>
            <w:tcW w:w="2132" w:type="dxa"/>
            <w:vAlign w:val="center"/>
            <w:hideMark/>
          </w:tcPr>
          <w:p w14:paraId="4F178B3F" w14:textId="72DEFFF2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3500" w:type="dxa"/>
            <w:hideMark/>
          </w:tcPr>
          <w:p w14:paraId="5545E24D" w14:textId="76B87F75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3BA085D0" w14:textId="77777777" w:rsidTr="00207DE5">
        <w:trPr>
          <w:trHeight w:val="315"/>
        </w:trPr>
        <w:tc>
          <w:tcPr>
            <w:tcW w:w="4428" w:type="dxa"/>
            <w:hideMark/>
          </w:tcPr>
          <w:p w14:paraId="3C383ED1" w14:textId="3285F7D3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Excluir regra AntiSpam</w:t>
            </w:r>
          </w:p>
        </w:tc>
        <w:tc>
          <w:tcPr>
            <w:tcW w:w="2132" w:type="dxa"/>
            <w:vAlign w:val="center"/>
            <w:hideMark/>
          </w:tcPr>
          <w:p w14:paraId="54CEA673" w14:textId="700DCB51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3500" w:type="dxa"/>
            <w:hideMark/>
          </w:tcPr>
          <w:p w14:paraId="16D47168" w14:textId="2BEB6678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5AFF3C96" w14:textId="77777777" w:rsidTr="00207DE5">
        <w:trPr>
          <w:trHeight w:val="315"/>
        </w:trPr>
        <w:tc>
          <w:tcPr>
            <w:tcW w:w="4428" w:type="dxa"/>
            <w:hideMark/>
          </w:tcPr>
          <w:p w14:paraId="183A4313" w14:textId="77777777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Habilitar e Desabilitar auditoria Mailbox</w:t>
            </w:r>
          </w:p>
        </w:tc>
        <w:tc>
          <w:tcPr>
            <w:tcW w:w="2132" w:type="dxa"/>
            <w:vAlign w:val="center"/>
            <w:hideMark/>
          </w:tcPr>
          <w:p w14:paraId="0E2BE076" w14:textId="5C3DCB8C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3500" w:type="dxa"/>
            <w:hideMark/>
          </w:tcPr>
          <w:p w14:paraId="444EB6F4" w14:textId="676F1DBF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75109A4F" w14:textId="77777777" w:rsidTr="00207DE5">
        <w:trPr>
          <w:trHeight w:val="315"/>
        </w:trPr>
        <w:tc>
          <w:tcPr>
            <w:tcW w:w="4428" w:type="dxa"/>
            <w:hideMark/>
          </w:tcPr>
          <w:p w14:paraId="0CC42880" w14:textId="49B6B411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Criar, Alterar e Excluir usuário </w:t>
            </w:r>
          </w:p>
        </w:tc>
        <w:tc>
          <w:tcPr>
            <w:tcW w:w="2132" w:type="dxa"/>
            <w:vAlign w:val="center"/>
            <w:hideMark/>
          </w:tcPr>
          <w:p w14:paraId="5C528074" w14:textId="0126D3D6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3500" w:type="dxa"/>
            <w:hideMark/>
          </w:tcPr>
          <w:p w14:paraId="6416C6B1" w14:textId="060202D6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355DF634" w14:textId="77777777" w:rsidTr="00207DE5">
        <w:trPr>
          <w:trHeight w:val="315"/>
        </w:trPr>
        <w:tc>
          <w:tcPr>
            <w:tcW w:w="4428" w:type="dxa"/>
            <w:hideMark/>
          </w:tcPr>
          <w:p w14:paraId="18FCCC80" w14:textId="49995C2F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proofErr w:type="spellStart"/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Resetar</w:t>
            </w:r>
            <w:proofErr w:type="spellEnd"/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senha do usuário </w:t>
            </w:r>
          </w:p>
        </w:tc>
        <w:tc>
          <w:tcPr>
            <w:tcW w:w="2132" w:type="dxa"/>
            <w:vAlign w:val="center"/>
            <w:hideMark/>
          </w:tcPr>
          <w:p w14:paraId="353E1175" w14:textId="1B724DB2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3500" w:type="dxa"/>
            <w:hideMark/>
          </w:tcPr>
          <w:p w14:paraId="29308FDF" w14:textId="4F1D6A9A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6522A5DE" w14:textId="77777777" w:rsidTr="00207DE5">
        <w:trPr>
          <w:trHeight w:val="315"/>
        </w:trPr>
        <w:tc>
          <w:tcPr>
            <w:tcW w:w="4428" w:type="dxa"/>
            <w:hideMark/>
          </w:tcPr>
          <w:p w14:paraId="70BAF9BC" w14:textId="77777777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Verificar e Alterar restrições de usuários </w:t>
            </w:r>
          </w:p>
        </w:tc>
        <w:tc>
          <w:tcPr>
            <w:tcW w:w="2132" w:type="dxa"/>
            <w:vAlign w:val="center"/>
            <w:hideMark/>
          </w:tcPr>
          <w:p w14:paraId="500BA120" w14:textId="0B1B63B5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3500" w:type="dxa"/>
            <w:hideMark/>
          </w:tcPr>
          <w:p w14:paraId="69311DF7" w14:textId="3B2FDC1E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6A11B6" w:rsidRPr="00CE32FE" w14:paraId="45B77C8B" w14:textId="77777777" w:rsidTr="00207DE5">
        <w:trPr>
          <w:trHeight w:val="315"/>
        </w:trPr>
        <w:tc>
          <w:tcPr>
            <w:tcW w:w="4428" w:type="dxa"/>
            <w:hideMark/>
          </w:tcPr>
          <w:p w14:paraId="7D4213C1" w14:textId="77777777" w:rsidR="006A11B6" w:rsidRPr="00CE32FE" w:rsidRDefault="006A11B6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Verificar e Alterar limites de caixa postal</w:t>
            </w:r>
          </w:p>
        </w:tc>
        <w:tc>
          <w:tcPr>
            <w:tcW w:w="2132" w:type="dxa"/>
            <w:vAlign w:val="center"/>
            <w:hideMark/>
          </w:tcPr>
          <w:p w14:paraId="6AFCD8B5" w14:textId="34CCD984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3500" w:type="dxa"/>
            <w:hideMark/>
          </w:tcPr>
          <w:p w14:paraId="011292DE" w14:textId="76325092" w:rsidR="006A11B6" w:rsidRPr="00CE32FE" w:rsidRDefault="006A11B6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E32FE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2C4A58" w:rsidRPr="00CE32FE" w14:paraId="1FE4669B" w14:textId="77777777" w:rsidTr="00207DE5">
        <w:trPr>
          <w:trHeight w:val="315"/>
        </w:trPr>
        <w:tc>
          <w:tcPr>
            <w:tcW w:w="4428" w:type="dxa"/>
          </w:tcPr>
          <w:p w14:paraId="7460A326" w14:textId="361E2041" w:rsidR="002C4A58" w:rsidRPr="00CE32FE" w:rsidRDefault="002C4A58" w:rsidP="006A11B6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Realizar copias de segurança de caixas de correio (Exemplo: </w:t>
            </w:r>
            <w:proofErr w:type="spellStart"/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PST´s</w:t>
            </w:r>
            <w:proofErr w:type="spellEnd"/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)*</w:t>
            </w:r>
          </w:p>
        </w:tc>
        <w:tc>
          <w:tcPr>
            <w:tcW w:w="2132" w:type="dxa"/>
            <w:vAlign w:val="center"/>
          </w:tcPr>
          <w:p w14:paraId="3A5FDE71" w14:textId="4290306D" w:rsidR="002C4A58" w:rsidRDefault="002C4A58" w:rsidP="006A11B6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D</w:t>
            </w:r>
          </w:p>
        </w:tc>
        <w:tc>
          <w:tcPr>
            <w:tcW w:w="3500" w:type="dxa"/>
          </w:tcPr>
          <w:p w14:paraId="0AE575C9" w14:textId="1401C922" w:rsidR="002C4A58" w:rsidRPr="00CE32FE" w:rsidRDefault="002C4A58" w:rsidP="006A11B6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</w:tbl>
    <w:p w14:paraId="459B9B41" w14:textId="39BDF9D1" w:rsidR="00AE4D10" w:rsidRPr="00EE0DEC" w:rsidRDefault="002C4A58" w:rsidP="00AE4D10">
      <w:pPr>
        <w:rPr>
          <w:sz w:val="16"/>
        </w:rPr>
      </w:pPr>
      <w:r w:rsidRPr="00EE0DEC">
        <w:rPr>
          <w:sz w:val="16"/>
        </w:rPr>
        <w:t>* O serviço de copias de segurança (backup) das caixas de correio está limitado à 2 requisições por mês</w:t>
      </w:r>
    </w:p>
    <w:p w14:paraId="10539562" w14:textId="08C27E4B" w:rsidR="00A34D79" w:rsidRPr="00CE32FE" w:rsidRDefault="00A34D79" w:rsidP="00A40735">
      <w:pPr>
        <w:pStyle w:val="Titulo1"/>
      </w:pPr>
      <w:bookmarkStart w:id="129" w:name="_Toc170327034"/>
      <w:r w:rsidRPr="00CE32FE">
        <w:t>Nível de Serviço</w:t>
      </w:r>
      <w:bookmarkEnd w:id="129"/>
    </w:p>
    <w:p w14:paraId="13DEFE29" w14:textId="7628FF80" w:rsidR="0082274B" w:rsidRDefault="00653336" w:rsidP="00207DE5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207DE5">
        <w:rPr>
          <w:rFonts w:ascii="Calibri" w:eastAsiaTheme="minorHAnsi" w:hAnsi="Calibri"/>
          <w:sz w:val="22"/>
          <w:szCs w:val="22"/>
          <w:lang w:eastAsia="en-US"/>
        </w:rPr>
        <w:t>O</w:t>
      </w:r>
      <w:r w:rsidR="002C4A58">
        <w:rPr>
          <w:rFonts w:ascii="Calibri" w:eastAsiaTheme="minorHAnsi" w:hAnsi="Calibri"/>
          <w:sz w:val="22"/>
          <w:szCs w:val="22"/>
          <w:lang w:eastAsia="en-US"/>
        </w:rPr>
        <w:t>s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proofErr w:type="spellStart"/>
      <w:r w:rsidRPr="00207DE5">
        <w:rPr>
          <w:rFonts w:ascii="Calibri" w:eastAsiaTheme="minorHAnsi" w:hAnsi="Calibri"/>
          <w:sz w:val="22"/>
          <w:szCs w:val="22"/>
          <w:lang w:eastAsia="en-US"/>
        </w:rPr>
        <w:t>SLA</w:t>
      </w:r>
      <w:r w:rsidR="002C4A58">
        <w:rPr>
          <w:rFonts w:ascii="Calibri" w:eastAsiaTheme="minorHAnsi" w:hAnsi="Calibri"/>
          <w:sz w:val="22"/>
          <w:szCs w:val="22"/>
          <w:lang w:eastAsia="en-US"/>
        </w:rPr>
        <w:t>s</w:t>
      </w:r>
      <w:proofErr w:type="spellEnd"/>
      <w:r w:rsidRPr="00207DE5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 w:rsidR="002C4A58">
        <w:rPr>
          <w:rFonts w:ascii="Calibri" w:eastAsiaTheme="minorHAnsi" w:hAnsi="Calibri"/>
          <w:sz w:val="22"/>
          <w:szCs w:val="22"/>
          <w:lang w:eastAsia="en-US"/>
        </w:rPr>
        <w:t xml:space="preserve">de disponibilidade e continuidade </w:t>
      </w:r>
      <w:r w:rsidRPr="00207DE5">
        <w:rPr>
          <w:rFonts w:ascii="Calibri" w:eastAsiaTheme="minorHAnsi" w:hAnsi="Calibri"/>
          <w:sz w:val="22"/>
          <w:szCs w:val="22"/>
          <w:lang w:eastAsia="en-US"/>
        </w:rPr>
        <w:t>d</w:t>
      </w:r>
      <w:r w:rsidR="00032C17">
        <w:rPr>
          <w:rFonts w:ascii="Calibri" w:eastAsiaTheme="minorHAnsi" w:hAnsi="Calibri"/>
          <w:sz w:val="22"/>
          <w:szCs w:val="22"/>
          <w:lang w:eastAsia="en-US"/>
        </w:rPr>
        <w:t>as ferramentas de Colaboração</w:t>
      </w:r>
      <w:r w:rsidR="00DF6750" w:rsidRPr="00207DE5">
        <w:rPr>
          <w:rFonts w:ascii="Calibri" w:eastAsiaTheme="minorHAnsi" w:hAnsi="Calibri"/>
          <w:sz w:val="22"/>
          <w:szCs w:val="22"/>
          <w:lang w:eastAsia="en-US"/>
        </w:rPr>
        <w:t>,</w:t>
      </w:r>
      <w:r w:rsidR="00032C17">
        <w:rPr>
          <w:rFonts w:ascii="Calibri" w:eastAsiaTheme="minorHAnsi" w:hAnsi="Calibri"/>
          <w:sz w:val="22"/>
          <w:szCs w:val="22"/>
          <w:lang w:eastAsia="en-US"/>
        </w:rPr>
        <w:t xml:space="preserve"> são </w:t>
      </w:r>
      <w:r w:rsidR="002C4A58">
        <w:rPr>
          <w:rFonts w:ascii="Calibri" w:eastAsiaTheme="minorHAnsi" w:hAnsi="Calibri"/>
          <w:sz w:val="22"/>
          <w:szCs w:val="22"/>
          <w:lang w:eastAsia="en-US"/>
        </w:rPr>
        <w:t xml:space="preserve">de responsabilidade dos </w:t>
      </w:r>
      <w:r w:rsidR="00032C17">
        <w:rPr>
          <w:rFonts w:ascii="Calibri" w:eastAsiaTheme="minorHAnsi" w:hAnsi="Calibri"/>
          <w:sz w:val="22"/>
          <w:szCs w:val="22"/>
          <w:lang w:eastAsia="en-US"/>
        </w:rPr>
        <w:t xml:space="preserve">respectivos fabricantes. </w:t>
      </w:r>
      <w:r w:rsidR="00DF6750" w:rsidRPr="00207DE5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</w:p>
    <w:p w14:paraId="1DDED6BA" w14:textId="2563AA39" w:rsidR="00A06A7C" w:rsidRDefault="008B494D" w:rsidP="00207DE5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>Para os serviços de Migração, Instalação e Configuração:</w:t>
      </w:r>
    </w:p>
    <w:p w14:paraId="5D28E98D" w14:textId="77777777" w:rsidR="008B494D" w:rsidRPr="00EE0DEC" w:rsidRDefault="008B494D" w:rsidP="008B494D">
      <w:pPr>
        <w:pStyle w:val="PargrafodaLista"/>
        <w:numPr>
          <w:ilvl w:val="0"/>
          <w:numId w:val="30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 xml:space="preserve">Antes do início do projeto, será realizada uma reunião inicial entre a equipe </w:t>
      </w:r>
      <w:r w:rsidRPr="00EE0DEC">
        <w:rPr>
          <w:rFonts w:ascii="Calibri" w:eastAsiaTheme="minorHAnsi" w:hAnsi="Calibri" w:cs="Calibri"/>
          <w:b/>
          <w:sz w:val="22"/>
          <w:szCs w:val="22"/>
          <w:lang w:eastAsia="en-US"/>
        </w:rPr>
        <w:t>SONDA</w:t>
      </w: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 xml:space="preserve"> e o </w:t>
      </w:r>
      <w:r w:rsidRPr="00EE0DEC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 xml:space="preserve"> para definir claramente os objetivos do projeto, metas mensuráveis e expectativas em relação aos serviços a serem prestados. Os objetivos e expectativas serão documentados em um plano de trabalho detalhado, que servirá como referência ao longo do projeto.</w:t>
      </w:r>
    </w:p>
    <w:p w14:paraId="05949D85" w14:textId="77777777" w:rsidR="008B494D" w:rsidRPr="00EE0DEC" w:rsidRDefault="008B494D" w:rsidP="008B494D">
      <w:pPr>
        <w:pStyle w:val="PargrafodaLista"/>
        <w:numPr>
          <w:ilvl w:val="0"/>
          <w:numId w:val="30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 xml:space="preserve">Será estabelecido um plano de comunicação que inclui canais entre a equipe </w:t>
      </w:r>
      <w:r w:rsidRPr="00EE0DE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SONDA </w:t>
      </w: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 xml:space="preserve">e o </w:t>
      </w:r>
      <w:r w:rsidRPr="00EE0DE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CLIENTE, </w:t>
      </w: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 xml:space="preserve">em que a comunicação será realizada regularmente para fornecer atualizações sobre o andamento do projeto, identificando e resolvendo os problemas e solicitando feedback do </w:t>
      </w:r>
      <w:r w:rsidRPr="00EE0DEC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316B9BE2" w14:textId="77777777" w:rsidR="008B494D" w:rsidRPr="00EE0DEC" w:rsidRDefault="008B494D" w:rsidP="008B494D">
      <w:pPr>
        <w:pStyle w:val="PargrafodaLista"/>
        <w:numPr>
          <w:ilvl w:val="0"/>
          <w:numId w:val="30"/>
        </w:num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Pr="00EE0DEC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SONDA </w:t>
      </w: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 xml:space="preserve">adota uma abordagem proativa para identificar e resolver problemas que possam surgir durante a prestação dos serviços, além de implementar medidas corretivas rapidamente, em colaboração com o </w:t>
      </w:r>
      <w:r w:rsidRPr="00EE0DEC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EE0DEC">
        <w:rPr>
          <w:rFonts w:ascii="Calibri" w:eastAsiaTheme="minorHAnsi" w:hAnsi="Calibri" w:cs="Calibri"/>
          <w:sz w:val="22"/>
          <w:szCs w:val="22"/>
          <w:lang w:eastAsia="en-US"/>
        </w:rPr>
        <w:t>, para minimizar o impacto nos resultados do projeto.</w:t>
      </w:r>
    </w:p>
    <w:p w14:paraId="7B860D38" w14:textId="76A20307" w:rsidR="008B494D" w:rsidRDefault="008B494D" w:rsidP="00207DE5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bookmarkStart w:id="130" w:name="_GoBack"/>
      <w:r>
        <w:rPr>
          <w:rFonts w:ascii="Calibri" w:eastAsiaTheme="minorHAnsi" w:hAnsi="Calibri"/>
          <w:sz w:val="22"/>
          <w:szCs w:val="22"/>
          <w:lang w:eastAsia="en-US"/>
        </w:rPr>
        <w:t>Para Administração do Ambiente e Suporte</w:t>
      </w:r>
    </w:p>
    <w:p w14:paraId="15DE8964" w14:textId="48A543A4" w:rsidR="00CC490F" w:rsidRPr="00EE0DEC" w:rsidRDefault="008B494D" w:rsidP="00EE0DEC">
      <w:pPr>
        <w:pStyle w:val="PargrafodaLista"/>
        <w:numPr>
          <w:ilvl w:val="0"/>
          <w:numId w:val="31"/>
        </w:num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Os </w:t>
      </w:r>
      <w:proofErr w:type="spellStart"/>
      <w:r>
        <w:rPr>
          <w:rFonts w:ascii="Calibri" w:eastAsiaTheme="minorHAnsi" w:hAnsi="Calibri"/>
          <w:sz w:val="22"/>
          <w:szCs w:val="22"/>
          <w:lang w:eastAsia="en-US"/>
        </w:rPr>
        <w:t>SLA</w:t>
      </w:r>
      <w:r w:rsidR="00CC490F">
        <w:rPr>
          <w:rFonts w:ascii="Calibri" w:eastAsiaTheme="minorHAnsi" w:hAnsi="Calibri"/>
          <w:sz w:val="22"/>
          <w:szCs w:val="22"/>
          <w:lang w:eastAsia="en-US"/>
        </w:rPr>
        <w:t>s</w:t>
      </w:r>
      <w:proofErr w:type="spellEnd"/>
      <w:r w:rsidR="00CC490F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/>
          <w:sz w:val="22"/>
          <w:szCs w:val="22"/>
          <w:lang w:eastAsia="en-US"/>
        </w:rPr>
        <w:t>de Professional Services estarão descritos na Proposta</w:t>
      </w:r>
      <w:r w:rsidR="00CC490F"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/>
          <w:sz w:val="22"/>
          <w:szCs w:val="22"/>
          <w:lang w:eastAsia="en-US"/>
        </w:rPr>
        <w:t>Técnica Comercial.</w:t>
      </w:r>
    </w:p>
    <w:bookmarkEnd w:id="130"/>
    <w:p w14:paraId="60F3BE77" w14:textId="653741AA" w:rsidR="00107C44" w:rsidRDefault="00107C44" w:rsidP="00207DE5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br w:type="page"/>
      </w:r>
    </w:p>
    <w:p w14:paraId="3A734E40" w14:textId="3259A6B8" w:rsidR="00DF6750" w:rsidRPr="00A524DE" w:rsidRDefault="00107C44" w:rsidP="00107C44">
      <w:pPr>
        <w:pStyle w:val="PargrafodaLista"/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42D79"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345DB0DE" wp14:editId="3C85D11A">
            <wp:simplePos x="0" y="0"/>
            <wp:positionH relativeFrom="page">
              <wp:posOffset>17890</wp:posOffset>
            </wp:positionH>
            <wp:positionV relativeFrom="page">
              <wp:posOffset>15902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750" w:rsidRPr="00A524DE" w:rsidSect="00BB5C2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916A1" w16cex:dateUtc="2023-07-24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92498F" w16cid:durableId="286916A1"/>
  <w16cid:commentId w16cid:paraId="36A57107" w16cid:durableId="2868CE0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98AA2" w14:textId="77777777" w:rsidR="00EE0DEC" w:rsidRDefault="00EE0DEC" w:rsidP="001C6DE5">
      <w:r>
        <w:separator/>
      </w:r>
    </w:p>
  </w:endnote>
  <w:endnote w:type="continuationSeparator" w:id="0">
    <w:p w14:paraId="31B27A53" w14:textId="77777777" w:rsidR="00EE0DEC" w:rsidRDefault="00EE0DEC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EE0DEC" w:rsidRDefault="00EE0DEC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EE0DEC" w:rsidRDefault="00EE0DEC" w:rsidP="006A3034">
    <w:pPr>
      <w:pStyle w:val="Rodap"/>
      <w:ind w:right="360" w:firstLine="360"/>
    </w:pPr>
  </w:p>
  <w:p w14:paraId="2BFB6D3C" w14:textId="77777777" w:rsidR="00EE0DEC" w:rsidRDefault="00EE0DE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EE0DEC" w:rsidRDefault="00EE0DEC" w:rsidP="00911B32"/>
  <w:p w14:paraId="334A312E" w14:textId="3BDD485C" w:rsidR="00EE0DEC" w:rsidRPr="0037697E" w:rsidRDefault="00EE0DEC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CF1D06">
      <w:rPr>
        <w:rFonts w:ascii="Roboto Medium" w:hAnsi="Roboto Medium"/>
        <w:noProof/>
        <w:color w:val="BFBFBF" w:themeColor="background1" w:themeShade="BF"/>
      </w:rPr>
      <w:t>11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42F11548" w:rsidR="00EE0DEC" w:rsidRDefault="00EE0DEC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AB2070" w14:textId="77777777" w:rsidR="00EE0DEC" w:rsidRDefault="00EE0DEC" w:rsidP="007A30E9">
    <w:pPr>
      <w:pStyle w:val="Rodap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>
      <w:rPr>
        <w:rFonts w:asciiTheme="majorHAnsi" w:hAnsiTheme="majorHAnsi" w:cstheme="majorHAnsi"/>
        <w:sz w:val="16"/>
        <w:szCs w:val="16"/>
      </w:rPr>
      <w:t>| Sua</w:t>
    </w:r>
    <w:proofErr w:type="gramEnd"/>
    <w:r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61AFDE52" w:rsidR="00EE0DEC" w:rsidRPr="0037697E" w:rsidRDefault="00EE0DEC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EE0DEC" w:rsidRDefault="00EE0DE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BA6DE" w14:textId="77777777" w:rsidR="00EE0DEC" w:rsidRDefault="00EE0DEC" w:rsidP="001C6DE5">
      <w:r>
        <w:separator/>
      </w:r>
    </w:p>
  </w:footnote>
  <w:footnote w:type="continuationSeparator" w:id="0">
    <w:p w14:paraId="5249EC42" w14:textId="77777777" w:rsidR="00EE0DEC" w:rsidRDefault="00EE0DEC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EE0DEC" w:rsidRDefault="00EE0D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EE0DEC" w:rsidRDefault="00EE0DEC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EE0DEC" w:rsidRDefault="00EE0DE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EE0DEC" w:rsidRDefault="00EE0DE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4D5"/>
    <w:multiLevelType w:val="hybridMultilevel"/>
    <w:tmpl w:val="C24C9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24824"/>
    <w:multiLevelType w:val="multilevel"/>
    <w:tmpl w:val="7F624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" w15:restartNumberingAfterBreak="0">
    <w:nsid w:val="14CD23BD"/>
    <w:multiLevelType w:val="hybridMultilevel"/>
    <w:tmpl w:val="AB2894FC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7E150F4"/>
    <w:multiLevelType w:val="hybridMultilevel"/>
    <w:tmpl w:val="DA1AAC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C18D7"/>
    <w:multiLevelType w:val="hybridMultilevel"/>
    <w:tmpl w:val="479A66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768A9"/>
    <w:multiLevelType w:val="hybridMultilevel"/>
    <w:tmpl w:val="D3AC1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B381E"/>
    <w:multiLevelType w:val="hybridMultilevel"/>
    <w:tmpl w:val="1EA4F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7FA6"/>
    <w:multiLevelType w:val="hybridMultilevel"/>
    <w:tmpl w:val="22CAEC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061F9"/>
    <w:multiLevelType w:val="hybridMultilevel"/>
    <w:tmpl w:val="BE0C4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53B67"/>
    <w:multiLevelType w:val="hybridMultilevel"/>
    <w:tmpl w:val="620E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669"/>
    <w:multiLevelType w:val="hybridMultilevel"/>
    <w:tmpl w:val="1B82A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82E6E"/>
    <w:multiLevelType w:val="hybridMultilevel"/>
    <w:tmpl w:val="DE6459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64481F"/>
    <w:multiLevelType w:val="multilevel"/>
    <w:tmpl w:val="7F624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7A16DF"/>
    <w:multiLevelType w:val="hybridMultilevel"/>
    <w:tmpl w:val="30A6BF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477A5"/>
    <w:multiLevelType w:val="hybridMultilevel"/>
    <w:tmpl w:val="869A5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02989"/>
    <w:multiLevelType w:val="hybridMultilevel"/>
    <w:tmpl w:val="3D08D7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137A18"/>
    <w:multiLevelType w:val="multilevel"/>
    <w:tmpl w:val="3C12066A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B82A5D"/>
    <w:multiLevelType w:val="hybridMultilevel"/>
    <w:tmpl w:val="E3863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3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5"/>
  </w:num>
  <w:num w:numId="27">
    <w:abstractNumId w:val="11"/>
  </w:num>
  <w:num w:numId="28">
    <w:abstractNumId w:val="10"/>
  </w:num>
  <w:num w:numId="29">
    <w:abstractNumId w:val="9"/>
  </w:num>
  <w:num w:numId="30">
    <w:abstractNumId w:val="18"/>
  </w:num>
  <w:num w:numId="31">
    <w:abstractNumId w:val="7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0262F"/>
    <w:rsid w:val="00014CBD"/>
    <w:rsid w:val="00020081"/>
    <w:rsid w:val="00023783"/>
    <w:rsid w:val="00032C17"/>
    <w:rsid w:val="000379E8"/>
    <w:rsid w:val="00056363"/>
    <w:rsid w:val="0006639D"/>
    <w:rsid w:val="000667E7"/>
    <w:rsid w:val="0008293B"/>
    <w:rsid w:val="00082C98"/>
    <w:rsid w:val="00085540"/>
    <w:rsid w:val="000858BB"/>
    <w:rsid w:val="00087FDB"/>
    <w:rsid w:val="0009359B"/>
    <w:rsid w:val="00094929"/>
    <w:rsid w:val="00094992"/>
    <w:rsid w:val="000964B0"/>
    <w:rsid w:val="000B0117"/>
    <w:rsid w:val="000B6D69"/>
    <w:rsid w:val="000B7134"/>
    <w:rsid w:val="000C4904"/>
    <w:rsid w:val="000D0A98"/>
    <w:rsid w:val="000D3E14"/>
    <w:rsid w:val="000E13D2"/>
    <w:rsid w:val="00103B0B"/>
    <w:rsid w:val="00106531"/>
    <w:rsid w:val="00107C44"/>
    <w:rsid w:val="001112A6"/>
    <w:rsid w:val="00116320"/>
    <w:rsid w:val="001262A9"/>
    <w:rsid w:val="001315E0"/>
    <w:rsid w:val="001350E8"/>
    <w:rsid w:val="00135CD5"/>
    <w:rsid w:val="00162135"/>
    <w:rsid w:val="00163576"/>
    <w:rsid w:val="001752EA"/>
    <w:rsid w:val="0018211E"/>
    <w:rsid w:val="001878DA"/>
    <w:rsid w:val="00194001"/>
    <w:rsid w:val="001A591F"/>
    <w:rsid w:val="001B4A53"/>
    <w:rsid w:val="001B4CB1"/>
    <w:rsid w:val="001C24CD"/>
    <w:rsid w:val="001C27C4"/>
    <w:rsid w:val="001C6DE5"/>
    <w:rsid w:val="001D6D28"/>
    <w:rsid w:val="001E2F3F"/>
    <w:rsid w:val="001E67AE"/>
    <w:rsid w:val="001F35C7"/>
    <w:rsid w:val="001F39F0"/>
    <w:rsid w:val="00203795"/>
    <w:rsid w:val="00207DE5"/>
    <w:rsid w:val="00226EED"/>
    <w:rsid w:val="002306FD"/>
    <w:rsid w:val="00231E69"/>
    <w:rsid w:val="00236E53"/>
    <w:rsid w:val="00241E56"/>
    <w:rsid w:val="00246E6B"/>
    <w:rsid w:val="00246FC9"/>
    <w:rsid w:val="00257F95"/>
    <w:rsid w:val="00275D44"/>
    <w:rsid w:val="00283B49"/>
    <w:rsid w:val="002840D2"/>
    <w:rsid w:val="00284523"/>
    <w:rsid w:val="0028488E"/>
    <w:rsid w:val="0029408D"/>
    <w:rsid w:val="00295C14"/>
    <w:rsid w:val="002A01F7"/>
    <w:rsid w:val="002B1416"/>
    <w:rsid w:val="002C4A58"/>
    <w:rsid w:val="002E3561"/>
    <w:rsid w:val="002E3993"/>
    <w:rsid w:val="002F08CD"/>
    <w:rsid w:val="002F1123"/>
    <w:rsid w:val="0030161B"/>
    <w:rsid w:val="00303F73"/>
    <w:rsid w:val="00304439"/>
    <w:rsid w:val="00305DE3"/>
    <w:rsid w:val="00322B73"/>
    <w:rsid w:val="00346ED2"/>
    <w:rsid w:val="00361159"/>
    <w:rsid w:val="00362954"/>
    <w:rsid w:val="00363C20"/>
    <w:rsid w:val="00370BAE"/>
    <w:rsid w:val="00372A3C"/>
    <w:rsid w:val="00374156"/>
    <w:rsid w:val="003751CA"/>
    <w:rsid w:val="0037697E"/>
    <w:rsid w:val="00381E14"/>
    <w:rsid w:val="003A2A09"/>
    <w:rsid w:val="003B48F7"/>
    <w:rsid w:val="003B7CAE"/>
    <w:rsid w:val="003C4DD8"/>
    <w:rsid w:val="003E0003"/>
    <w:rsid w:val="003E7E57"/>
    <w:rsid w:val="003F74D9"/>
    <w:rsid w:val="00400686"/>
    <w:rsid w:val="0042190C"/>
    <w:rsid w:val="004238EF"/>
    <w:rsid w:val="004349AA"/>
    <w:rsid w:val="0046281E"/>
    <w:rsid w:val="00470098"/>
    <w:rsid w:val="00475750"/>
    <w:rsid w:val="00476883"/>
    <w:rsid w:val="00476B9D"/>
    <w:rsid w:val="004775A2"/>
    <w:rsid w:val="00481CD7"/>
    <w:rsid w:val="004829FA"/>
    <w:rsid w:val="00494A30"/>
    <w:rsid w:val="004A0514"/>
    <w:rsid w:val="004B1149"/>
    <w:rsid w:val="004B42C3"/>
    <w:rsid w:val="004C3B6A"/>
    <w:rsid w:val="004D015A"/>
    <w:rsid w:val="004D40FD"/>
    <w:rsid w:val="004E3BAD"/>
    <w:rsid w:val="004E55DE"/>
    <w:rsid w:val="0050147E"/>
    <w:rsid w:val="00503323"/>
    <w:rsid w:val="005119FB"/>
    <w:rsid w:val="00521178"/>
    <w:rsid w:val="005223BB"/>
    <w:rsid w:val="005227C0"/>
    <w:rsid w:val="00524AC9"/>
    <w:rsid w:val="00530B01"/>
    <w:rsid w:val="00545B9D"/>
    <w:rsid w:val="00547B69"/>
    <w:rsid w:val="005A373C"/>
    <w:rsid w:val="005A4501"/>
    <w:rsid w:val="005B0F29"/>
    <w:rsid w:val="005B15EC"/>
    <w:rsid w:val="005C2BAB"/>
    <w:rsid w:val="005C619E"/>
    <w:rsid w:val="005D0123"/>
    <w:rsid w:val="005D15A6"/>
    <w:rsid w:val="005D75A4"/>
    <w:rsid w:val="005E0503"/>
    <w:rsid w:val="005E0506"/>
    <w:rsid w:val="005E2280"/>
    <w:rsid w:val="005E612E"/>
    <w:rsid w:val="005E685B"/>
    <w:rsid w:val="005E6A0E"/>
    <w:rsid w:val="005F1CA1"/>
    <w:rsid w:val="005F3078"/>
    <w:rsid w:val="00622B25"/>
    <w:rsid w:val="0063314A"/>
    <w:rsid w:val="00633924"/>
    <w:rsid w:val="00653336"/>
    <w:rsid w:val="00656750"/>
    <w:rsid w:val="00692AD1"/>
    <w:rsid w:val="00695D6E"/>
    <w:rsid w:val="006969CF"/>
    <w:rsid w:val="006A11B6"/>
    <w:rsid w:val="006A3034"/>
    <w:rsid w:val="006A3F68"/>
    <w:rsid w:val="006B19D0"/>
    <w:rsid w:val="006B615D"/>
    <w:rsid w:val="006D0985"/>
    <w:rsid w:val="006E77E8"/>
    <w:rsid w:val="00703BCB"/>
    <w:rsid w:val="007148ED"/>
    <w:rsid w:val="007214D9"/>
    <w:rsid w:val="00737650"/>
    <w:rsid w:val="00743297"/>
    <w:rsid w:val="00772DA9"/>
    <w:rsid w:val="0077484A"/>
    <w:rsid w:val="00783DB1"/>
    <w:rsid w:val="007931E0"/>
    <w:rsid w:val="00796A31"/>
    <w:rsid w:val="007A2B16"/>
    <w:rsid w:val="007A30E9"/>
    <w:rsid w:val="007B7352"/>
    <w:rsid w:val="007C0598"/>
    <w:rsid w:val="007C66B8"/>
    <w:rsid w:val="007D0850"/>
    <w:rsid w:val="007D7C3C"/>
    <w:rsid w:val="007E58F8"/>
    <w:rsid w:val="007E7C6E"/>
    <w:rsid w:val="007F1D6E"/>
    <w:rsid w:val="007F46FB"/>
    <w:rsid w:val="007F533E"/>
    <w:rsid w:val="00806377"/>
    <w:rsid w:val="00811E3B"/>
    <w:rsid w:val="008141BE"/>
    <w:rsid w:val="00820BEC"/>
    <w:rsid w:val="00822037"/>
    <w:rsid w:val="0082274B"/>
    <w:rsid w:val="00822868"/>
    <w:rsid w:val="00833064"/>
    <w:rsid w:val="008422AB"/>
    <w:rsid w:val="00842B54"/>
    <w:rsid w:val="008503D6"/>
    <w:rsid w:val="00856B75"/>
    <w:rsid w:val="00875896"/>
    <w:rsid w:val="00893FBC"/>
    <w:rsid w:val="00894D30"/>
    <w:rsid w:val="008A17BB"/>
    <w:rsid w:val="008A2788"/>
    <w:rsid w:val="008B1107"/>
    <w:rsid w:val="008B32C9"/>
    <w:rsid w:val="008B494D"/>
    <w:rsid w:val="008C478C"/>
    <w:rsid w:val="008E220A"/>
    <w:rsid w:val="008E4438"/>
    <w:rsid w:val="008F64CF"/>
    <w:rsid w:val="00900337"/>
    <w:rsid w:val="00911B32"/>
    <w:rsid w:val="00920F53"/>
    <w:rsid w:val="00934AD4"/>
    <w:rsid w:val="0095572E"/>
    <w:rsid w:val="0095704C"/>
    <w:rsid w:val="0097375E"/>
    <w:rsid w:val="00973CC4"/>
    <w:rsid w:val="0098041E"/>
    <w:rsid w:val="00981FAE"/>
    <w:rsid w:val="009A0DDF"/>
    <w:rsid w:val="009A711B"/>
    <w:rsid w:val="009B2097"/>
    <w:rsid w:val="009C3F5E"/>
    <w:rsid w:val="009C7D17"/>
    <w:rsid w:val="009D2F6B"/>
    <w:rsid w:val="009D345B"/>
    <w:rsid w:val="009D5238"/>
    <w:rsid w:val="009D6310"/>
    <w:rsid w:val="009E2ED9"/>
    <w:rsid w:val="009E6E93"/>
    <w:rsid w:val="00A0353C"/>
    <w:rsid w:val="00A06A7C"/>
    <w:rsid w:val="00A162CD"/>
    <w:rsid w:val="00A20A97"/>
    <w:rsid w:val="00A23227"/>
    <w:rsid w:val="00A308C0"/>
    <w:rsid w:val="00A3343C"/>
    <w:rsid w:val="00A34D79"/>
    <w:rsid w:val="00A40735"/>
    <w:rsid w:val="00A42F58"/>
    <w:rsid w:val="00A46626"/>
    <w:rsid w:val="00A524DE"/>
    <w:rsid w:val="00A53EBC"/>
    <w:rsid w:val="00A549F9"/>
    <w:rsid w:val="00A555D5"/>
    <w:rsid w:val="00A62606"/>
    <w:rsid w:val="00A65015"/>
    <w:rsid w:val="00A76D8A"/>
    <w:rsid w:val="00A80BF4"/>
    <w:rsid w:val="00A8785F"/>
    <w:rsid w:val="00A92823"/>
    <w:rsid w:val="00A92F5C"/>
    <w:rsid w:val="00AA5F89"/>
    <w:rsid w:val="00AB17D0"/>
    <w:rsid w:val="00AC786D"/>
    <w:rsid w:val="00AD0A02"/>
    <w:rsid w:val="00AD0FF7"/>
    <w:rsid w:val="00AD37D0"/>
    <w:rsid w:val="00AE4D10"/>
    <w:rsid w:val="00B0232F"/>
    <w:rsid w:val="00B2006E"/>
    <w:rsid w:val="00B30853"/>
    <w:rsid w:val="00B41D8E"/>
    <w:rsid w:val="00B44E86"/>
    <w:rsid w:val="00B47A2D"/>
    <w:rsid w:val="00B8404F"/>
    <w:rsid w:val="00B92F83"/>
    <w:rsid w:val="00BA4730"/>
    <w:rsid w:val="00BB5C28"/>
    <w:rsid w:val="00BD5BD9"/>
    <w:rsid w:val="00BE3C02"/>
    <w:rsid w:val="00BF1129"/>
    <w:rsid w:val="00BF5AE5"/>
    <w:rsid w:val="00C0096E"/>
    <w:rsid w:val="00C04071"/>
    <w:rsid w:val="00C04C9D"/>
    <w:rsid w:val="00C07762"/>
    <w:rsid w:val="00C07A43"/>
    <w:rsid w:val="00C10E52"/>
    <w:rsid w:val="00C165C1"/>
    <w:rsid w:val="00C3590F"/>
    <w:rsid w:val="00C438A9"/>
    <w:rsid w:val="00C45C20"/>
    <w:rsid w:val="00C47BF1"/>
    <w:rsid w:val="00C60E56"/>
    <w:rsid w:val="00C634A1"/>
    <w:rsid w:val="00C676A6"/>
    <w:rsid w:val="00C7527B"/>
    <w:rsid w:val="00C83445"/>
    <w:rsid w:val="00C877CC"/>
    <w:rsid w:val="00C9037F"/>
    <w:rsid w:val="00C90C2E"/>
    <w:rsid w:val="00C9115F"/>
    <w:rsid w:val="00C9722D"/>
    <w:rsid w:val="00C975B3"/>
    <w:rsid w:val="00C97E20"/>
    <w:rsid w:val="00CA0DA4"/>
    <w:rsid w:val="00CC251B"/>
    <w:rsid w:val="00CC270C"/>
    <w:rsid w:val="00CC2F8D"/>
    <w:rsid w:val="00CC33A2"/>
    <w:rsid w:val="00CC490F"/>
    <w:rsid w:val="00CC5F7A"/>
    <w:rsid w:val="00CD5246"/>
    <w:rsid w:val="00CE32FE"/>
    <w:rsid w:val="00CF1224"/>
    <w:rsid w:val="00CF1D06"/>
    <w:rsid w:val="00CF4064"/>
    <w:rsid w:val="00CF7B40"/>
    <w:rsid w:val="00D14C4E"/>
    <w:rsid w:val="00D1578C"/>
    <w:rsid w:val="00D22E24"/>
    <w:rsid w:val="00D23E78"/>
    <w:rsid w:val="00D33F60"/>
    <w:rsid w:val="00D3434F"/>
    <w:rsid w:val="00D45A2A"/>
    <w:rsid w:val="00D468B1"/>
    <w:rsid w:val="00D54B59"/>
    <w:rsid w:val="00D62804"/>
    <w:rsid w:val="00D65E63"/>
    <w:rsid w:val="00D712C9"/>
    <w:rsid w:val="00D71AEB"/>
    <w:rsid w:val="00D77CCA"/>
    <w:rsid w:val="00D84AA0"/>
    <w:rsid w:val="00DA1FB6"/>
    <w:rsid w:val="00DA2E2E"/>
    <w:rsid w:val="00DA39A2"/>
    <w:rsid w:val="00DD5E7C"/>
    <w:rsid w:val="00DD7B36"/>
    <w:rsid w:val="00DE0BB1"/>
    <w:rsid w:val="00DE0C88"/>
    <w:rsid w:val="00DF0A90"/>
    <w:rsid w:val="00DF441C"/>
    <w:rsid w:val="00DF51B8"/>
    <w:rsid w:val="00DF6750"/>
    <w:rsid w:val="00E1204D"/>
    <w:rsid w:val="00E210A2"/>
    <w:rsid w:val="00E21300"/>
    <w:rsid w:val="00E23B24"/>
    <w:rsid w:val="00E26725"/>
    <w:rsid w:val="00E472A0"/>
    <w:rsid w:val="00E656DA"/>
    <w:rsid w:val="00E759DA"/>
    <w:rsid w:val="00E7619C"/>
    <w:rsid w:val="00E76923"/>
    <w:rsid w:val="00E867D3"/>
    <w:rsid w:val="00EA0221"/>
    <w:rsid w:val="00EB5340"/>
    <w:rsid w:val="00EC2058"/>
    <w:rsid w:val="00ED29B2"/>
    <w:rsid w:val="00EE0DEC"/>
    <w:rsid w:val="00EE6697"/>
    <w:rsid w:val="00EF3F24"/>
    <w:rsid w:val="00EF6D82"/>
    <w:rsid w:val="00F1242D"/>
    <w:rsid w:val="00F235D6"/>
    <w:rsid w:val="00F260C0"/>
    <w:rsid w:val="00F37730"/>
    <w:rsid w:val="00F444D4"/>
    <w:rsid w:val="00F50CDF"/>
    <w:rsid w:val="00F60DE3"/>
    <w:rsid w:val="00F67717"/>
    <w:rsid w:val="00F87A71"/>
    <w:rsid w:val="00F9182A"/>
    <w:rsid w:val="00F9457D"/>
    <w:rsid w:val="00F9588E"/>
    <w:rsid w:val="00FB4082"/>
    <w:rsid w:val="00FD44F6"/>
    <w:rsid w:val="00FD7818"/>
    <w:rsid w:val="00FE3987"/>
    <w:rsid w:val="00FE5C74"/>
    <w:rsid w:val="00FF0420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,Legal numbered paragraph,TGSol List Paragraph,TMS List Paragraph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DF0A90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F60DE3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F0A90"/>
    <w:pPr>
      <w:numPr>
        <w:ilvl w:val="2"/>
        <w:numId w:val="1"/>
      </w:numPr>
      <w:spacing w:before="120" w:after="120"/>
      <w:ind w:left="1224"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DF0A90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A555D5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customStyle="1" w:styleId="eop">
    <w:name w:val="eop"/>
    <w:basedOn w:val="Fontepargpadro"/>
    <w:rsid w:val="00AE4D10"/>
  </w:style>
  <w:style w:type="paragraph" w:customStyle="1" w:styleId="Default">
    <w:name w:val="Default"/>
    <w:rsid w:val="00DF675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character" w:styleId="Refdecomentrio">
    <w:name w:val="annotation reference"/>
    <w:uiPriority w:val="99"/>
    <w:rsid w:val="00AC78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C786D"/>
    <w:pPr>
      <w:suppressAutoHyphens/>
      <w:spacing w:after="120"/>
    </w:pPr>
    <w:rPr>
      <w:rFonts w:ascii="Tahoma" w:eastAsia="MS Mincho" w:hAnsi="Tahoma" w:cs="Times New Roman"/>
      <w:szCs w:val="20"/>
      <w:lang w:val="es-CL" w:eastAsia="ja-JP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786D"/>
    <w:rPr>
      <w:rFonts w:ascii="Tahoma" w:eastAsia="MS Mincho" w:hAnsi="Tahoma" w:cs="Times New Roman"/>
      <w:sz w:val="20"/>
      <w:szCs w:val="20"/>
      <w:lang w:val="es-CL" w:eastAsia="ja-JP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,Legal numbered paragraph Char,TGSol List Paragraph Char,TMS List Paragraph Char"/>
    <w:link w:val="PargrafodaLista"/>
    <w:uiPriority w:val="34"/>
    <w:rsid w:val="00AC786D"/>
    <w:rPr>
      <w:rFonts w:ascii="Arial" w:hAnsi="Arial"/>
      <w:sz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8CD"/>
    <w:pPr>
      <w:suppressAutoHyphens w:val="0"/>
      <w:spacing w:after="0"/>
    </w:pPr>
    <w:rPr>
      <w:rFonts w:ascii="Arial" w:eastAsiaTheme="minorEastAsia" w:hAnsi="Arial" w:cstheme="minorBidi"/>
      <w:b/>
      <w:bCs/>
      <w:lang w:val="pt-BR" w:eastAsia="es-E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8CD"/>
    <w:rPr>
      <w:rFonts w:ascii="Arial" w:eastAsia="MS Mincho" w:hAnsi="Arial" w:cs="Times New Roman"/>
      <w:b/>
      <w:bCs/>
      <w:sz w:val="20"/>
      <w:szCs w:val="20"/>
      <w:lang w:val="pt-BR" w:eastAsia="ja-JP"/>
    </w:rPr>
  </w:style>
  <w:style w:type="table" w:styleId="TabeladeGradeClara">
    <w:name w:val="Grid Table Light"/>
    <w:basedOn w:val="Tabelanormal"/>
    <w:uiPriority w:val="99"/>
    <w:rsid w:val="00EF3F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emEspaamento">
    <w:name w:val="No Spacing"/>
    <w:uiPriority w:val="1"/>
    <w:qFormat/>
    <w:rsid w:val="00EB5340"/>
    <w:rPr>
      <w:rFonts w:ascii="Times New Roman" w:eastAsiaTheme="minorHAnsi" w:hAnsi="Times New Roman" w:cs="Times New Roman"/>
      <w:lang w:val="pt-BR" w:eastAsia="pt-BR"/>
    </w:rPr>
  </w:style>
  <w:style w:type="paragraph" w:styleId="Reviso">
    <w:name w:val="Revision"/>
    <w:hidden/>
    <w:uiPriority w:val="99"/>
    <w:semiHidden/>
    <w:rsid w:val="00A8785F"/>
    <w:rPr>
      <w:rFonts w:ascii="Arial" w:hAnsi="Arial"/>
      <w:sz w:val="20"/>
      <w:lang w:val="pt-BR"/>
    </w:rPr>
  </w:style>
  <w:style w:type="paragraph" w:styleId="NormalWeb">
    <w:name w:val="Normal (Web)"/>
    <w:basedOn w:val="Normal"/>
    <w:uiPriority w:val="99"/>
    <w:semiHidden/>
    <w:unhideWhenUsed/>
    <w:rsid w:val="006B615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5EA64EDC-2A98-48FB-89EB-FB6EF2312C14}">
  <ds:schemaRefs>
    <ds:schemaRef ds:uri="4997845b-4d24-481b-a5f9-1fc71bdf2a86"/>
    <ds:schemaRef ds:uri="http://www.w3.org/XML/1998/namespace"/>
    <ds:schemaRef ds:uri="dc1af24c-eede-4c4d-9326-29c03d315472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15DE2-EEEE-4D5B-A1EE-4B037409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2885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10</cp:revision>
  <dcterms:created xsi:type="dcterms:W3CDTF">2024-06-06T12:57:00Z</dcterms:created>
  <dcterms:modified xsi:type="dcterms:W3CDTF">2024-09-18T15:32:00Z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